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24837495" w:rsidR="00F445B1" w:rsidRPr="003E4C33" w:rsidRDefault="00BF2B37" w:rsidP="004A6D2F">
            <w:pPr>
              <w:rPr>
                <w:rStyle w:val="Firstpagetablebold"/>
                <w:rFonts w:cs="Arial"/>
              </w:rPr>
            </w:pPr>
            <w:r w:rsidRPr="003E4C33">
              <w:rPr>
                <w:rStyle w:val="Firstpagetablebold"/>
                <w:rFonts w:cs="Arial"/>
              </w:rPr>
              <w:t xml:space="preserve">Single Member Decision </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0D8D625F" w:rsidR="00F445B1" w:rsidRPr="00C55247" w:rsidRDefault="001C2445" w:rsidP="007B5CA2">
            <w:pPr>
              <w:rPr>
                <w:rFonts w:cs="Arial"/>
                <w:b/>
                <w:bCs/>
                <w:color w:val="auto"/>
              </w:rPr>
            </w:pPr>
            <w:r>
              <w:rPr>
                <w:rFonts w:cs="Arial"/>
                <w:b/>
                <w:bCs/>
                <w:color w:val="auto"/>
              </w:rPr>
              <w:t>30</w:t>
            </w:r>
            <w:r w:rsidR="00810555">
              <w:rPr>
                <w:rFonts w:cs="Arial"/>
                <w:b/>
                <w:bCs/>
                <w:color w:val="auto"/>
              </w:rPr>
              <w:t xml:space="preserve"> June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29D7F393" w:rsidR="00F445B1" w:rsidRPr="00C55247" w:rsidRDefault="000C1E82" w:rsidP="2BB29E7E">
            <w:pPr>
              <w:rPr>
                <w:rStyle w:val="Firstpagetablebold"/>
                <w:rFonts w:cs="Arial"/>
                <w:b w:val="0"/>
                <w:color w:val="auto"/>
              </w:rPr>
            </w:pPr>
            <w:r>
              <w:rPr>
                <w:rStyle w:val="Firstpagetablebold"/>
                <w:rFonts w:cs="Arial"/>
                <w:b w:val="0"/>
                <w:color w:val="auto"/>
              </w:rPr>
              <w:t>C</w:t>
            </w:r>
            <w:r w:rsidR="00810555">
              <w:rPr>
                <w:rStyle w:val="Firstpagetablebold"/>
                <w:rFonts w:cs="Arial"/>
                <w:b w:val="0"/>
                <w:color w:val="auto"/>
              </w:rPr>
              <w:t>ouncillor</w:t>
            </w:r>
            <w:r>
              <w:rPr>
                <w:rStyle w:val="Firstpagetablebold"/>
                <w:rFonts w:cs="Arial"/>
                <w:b w:val="0"/>
                <w:color w:val="auto"/>
              </w:rPr>
              <w:t xml:space="preserve"> Chewe </w:t>
            </w:r>
            <w:proofErr w:type="spellStart"/>
            <w:r>
              <w:rPr>
                <w:rStyle w:val="Firstpagetablebold"/>
                <w:rFonts w:cs="Arial"/>
                <w:b w:val="0"/>
                <w:color w:val="auto"/>
              </w:rPr>
              <w:t>Munkonge</w:t>
            </w:r>
            <w:proofErr w:type="spellEnd"/>
            <w:r w:rsidR="00750B7F">
              <w:rPr>
                <w:rStyle w:val="Firstpagetablebold"/>
                <w:rFonts w:cs="Arial"/>
                <w:b w:val="0"/>
                <w:color w:val="auto"/>
              </w:rPr>
              <w:t xml:space="preserve">, </w:t>
            </w:r>
            <w:r w:rsidR="00750B7F" w:rsidRPr="00750B7F">
              <w:rPr>
                <w:rStyle w:val="Firstpagetablebold"/>
                <w:rFonts w:cs="Arial"/>
                <w:b w:val="0"/>
                <w:color w:val="auto"/>
              </w:rPr>
              <w:t>Cabinet Member for a Healthy, Fairer Oxford</w:t>
            </w:r>
            <w:r w:rsidR="00250A14">
              <w:rPr>
                <w:rStyle w:val="Firstpagetablebold"/>
                <w:rFonts w:cs="Arial"/>
                <w:b w:val="0"/>
                <w:color w:val="auto"/>
              </w:rPr>
              <w:t xml:space="preserve"> </w:t>
            </w:r>
            <w:r w:rsidR="00250A14" w:rsidRPr="00250A14">
              <w:t>and Small Business Champion</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2522BEC5" w:rsidR="00F445B1" w:rsidRPr="00C55247" w:rsidRDefault="00584C7D" w:rsidP="6705CB2F">
            <w:pPr>
              <w:rPr>
                <w:rStyle w:val="Firstpagetablebold"/>
                <w:rFonts w:cs="Arial"/>
                <w:b w:val="0"/>
                <w:color w:val="auto"/>
              </w:rPr>
            </w:pPr>
            <w:r>
              <w:rPr>
                <w:rStyle w:val="Firstpagetablebold"/>
                <w:rFonts w:cs="Arial"/>
                <w:b w:val="0"/>
                <w:color w:val="auto"/>
              </w:rPr>
              <w:t xml:space="preserve">Fund £125,000 to Courtside </w:t>
            </w:r>
            <w:r w:rsidR="00900411">
              <w:rPr>
                <w:rStyle w:val="Firstpagetablebold"/>
                <w:rFonts w:cs="Arial"/>
                <w:b w:val="0"/>
                <w:color w:val="auto"/>
              </w:rPr>
              <w:t xml:space="preserve">CIC </w:t>
            </w:r>
            <w:r>
              <w:rPr>
                <w:rStyle w:val="Firstpagetablebold"/>
                <w:rFonts w:cs="Arial"/>
                <w:b w:val="0"/>
                <w:color w:val="auto"/>
              </w:rPr>
              <w:t>for creation of Bury Knowle hub</w:t>
            </w:r>
            <w:r w:rsidR="006C767F" w:rsidRPr="00C55247">
              <w:rPr>
                <w:rStyle w:val="Firstpagetablebold"/>
                <w:rFonts w:cs="Arial"/>
                <w:b w:val="0"/>
                <w:color w:val="auto"/>
              </w:rPr>
              <w:t xml:space="preserve"> </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611AD394" w:rsidR="00D5547E" w:rsidRPr="00C55247" w:rsidRDefault="0022753B" w:rsidP="2BB29E7E">
            <w:pPr>
              <w:rPr>
                <w:rFonts w:cs="Arial"/>
                <w:color w:val="auto"/>
              </w:rPr>
            </w:pPr>
            <w:r>
              <w:rPr>
                <w:rFonts w:cs="Arial"/>
                <w:color w:val="auto"/>
              </w:rPr>
              <w:t xml:space="preserve">Grant </w:t>
            </w:r>
            <w:r w:rsidR="00810C1B" w:rsidRPr="00810C1B">
              <w:rPr>
                <w:rFonts w:cs="Arial"/>
                <w:color w:val="auto"/>
              </w:rPr>
              <w:t>Fund £125,000 to Courtside</w:t>
            </w:r>
            <w:r>
              <w:rPr>
                <w:rFonts w:cs="Arial"/>
                <w:color w:val="auto"/>
              </w:rPr>
              <w:t xml:space="preserve"> CIC</w:t>
            </w:r>
            <w:r w:rsidR="00810C1B" w:rsidRPr="00810C1B">
              <w:rPr>
                <w:rFonts w:cs="Arial"/>
                <w:color w:val="auto"/>
              </w:rPr>
              <w:t xml:space="preserve"> </w:t>
            </w:r>
            <w:r>
              <w:rPr>
                <w:rFonts w:cs="Arial"/>
                <w:color w:val="auto"/>
              </w:rPr>
              <w:t>towards construction costs of transforming a derelict City Council facility into a modern</w:t>
            </w:r>
            <w:r w:rsidR="00810C1B" w:rsidRPr="00810C1B">
              <w:rPr>
                <w:rFonts w:cs="Arial"/>
                <w:color w:val="auto"/>
              </w:rPr>
              <w:t xml:space="preserve"> of Bury Knowle</w:t>
            </w:r>
            <w:r>
              <w:rPr>
                <w:rFonts w:cs="Arial"/>
                <w:color w:val="auto"/>
              </w:rPr>
              <w:t xml:space="preserve"> sport and physical activity</w:t>
            </w:r>
            <w:r w:rsidR="00810C1B" w:rsidRPr="00810C1B">
              <w:rPr>
                <w:rFonts w:cs="Arial"/>
                <w:color w:val="auto"/>
              </w:rPr>
              <w:t xml:space="preserve"> hub</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02F37208" w:rsidR="00D5547E" w:rsidRPr="00C55247" w:rsidRDefault="00810C1B" w:rsidP="2BB29E7E">
            <w:pPr>
              <w:rPr>
                <w:rFonts w:cs="Arial"/>
                <w:color w:val="auto"/>
              </w:rPr>
            </w:pPr>
            <w:r>
              <w:rPr>
                <w:rFonts w:cs="Arial"/>
                <w:color w:val="auto"/>
              </w:rPr>
              <w:t>N</w:t>
            </w:r>
            <w:r>
              <w:t>o</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584CC6ED" w14:textId="77777777" w:rsidR="004712C6" w:rsidRPr="004712C6" w:rsidRDefault="004712C6" w:rsidP="004712C6">
            <w:pPr>
              <w:rPr>
                <w:rFonts w:cs="Arial"/>
                <w:color w:val="auto"/>
              </w:rPr>
            </w:pPr>
            <w:r w:rsidRPr="004712C6">
              <w:rPr>
                <w:rFonts w:cs="Arial"/>
                <w:color w:val="auto"/>
              </w:rPr>
              <w:t>Part 4.6 of the Constitution, Delegation to Single Cabinet Member:</w:t>
            </w:r>
          </w:p>
          <w:p w14:paraId="14784426" w14:textId="77777777" w:rsidR="004712C6" w:rsidRPr="004712C6" w:rsidRDefault="004712C6" w:rsidP="004712C6">
            <w:pPr>
              <w:rPr>
                <w:rFonts w:cs="Arial"/>
                <w:color w:val="auto"/>
              </w:rPr>
            </w:pPr>
            <w:r w:rsidRPr="004712C6">
              <w:rPr>
                <w:rFonts w:cs="Arial"/>
                <w:color w:val="auto"/>
              </w:rPr>
              <w:t>The Leader may delegate executive responsibilities to a single Cabinet Member with or without consultation with officers or other Cabinet Members.</w:t>
            </w:r>
          </w:p>
          <w:p w14:paraId="64DB232B" w14:textId="77777777" w:rsidR="004712C6" w:rsidRPr="004712C6" w:rsidRDefault="004712C6" w:rsidP="004712C6">
            <w:pPr>
              <w:rPr>
                <w:rFonts w:cs="Arial"/>
                <w:color w:val="auto"/>
              </w:rPr>
            </w:pPr>
            <w:r w:rsidRPr="004712C6">
              <w:rPr>
                <w:rFonts w:cs="Arial"/>
                <w:color w:val="auto"/>
              </w:rPr>
              <w:t>Cabinet Members do not have to use the delegated powers: they can ask the Leader to decide. The delegation can also be withdrawn by the Leader.</w:t>
            </w:r>
          </w:p>
          <w:p w14:paraId="45E11FC2" w14:textId="77777777" w:rsidR="004712C6" w:rsidRPr="004712C6" w:rsidRDefault="004712C6" w:rsidP="004712C6">
            <w:pPr>
              <w:rPr>
                <w:rFonts w:cs="Arial"/>
                <w:color w:val="auto"/>
              </w:rPr>
            </w:pPr>
            <w:r w:rsidRPr="004712C6">
              <w:rPr>
                <w:rFonts w:cs="Arial"/>
                <w:color w:val="auto"/>
              </w:rPr>
              <w:t>Any decisions delegated to a single Cabinet Member shall only be taken having regard to a written report submitted to them by the relevant officer within the senior management structure including any advice from the Group Finance Director and the Director of Law, Governance and Strategy.</w:t>
            </w:r>
          </w:p>
          <w:p w14:paraId="24C2E022" w14:textId="7C66F6B3" w:rsidR="006B2DE1" w:rsidRPr="00C55247" w:rsidRDefault="006B2DE1" w:rsidP="003E4C33">
            <w:pPr>
              <w:rPr>
                <w:rFonts w:cs="Arial"/>
                <w:color w:val="auto"/>
              </w:rPr>
            </w:pP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2C7FF9DC" w:rsidR="00E508A1" w:rsidRPr="00C55247" w:rsidRDefault="00E508A1" w:rsidP="00E508A1">
            <w:pPr>
              <w:rPr>
                <w:rFonts w:cs="Arial"/>
                <w:color w:val="auto"/>
              </w:rPr>
            </w:pPr>
            <w:r w:rsidRPr="00C55247">
              <w:rPr>
                <w:color w:val="auto"/>
              </w:rPr>
              <w:t xml:space="preserve">Councillor </w:t>
            </w:r>
            <w:r w:rsidR="001E556C">
              <w:rPr>
                <w:color w:val="auto"/>
              </w:rPr>
              <w:t>C</w:t>
            </w:r>
            <w:r w:rsidR="001E556C">
              <w:t xml:space="preserve">hewe </w:t>
            </w:r>
            <w:proofErr w:type="spellStart"/>
            <w:r w:rsidR="001E556C">
              <w:t>Munkonge</w:t>
            </w:r>
            <w:proofErr w:type="spellEnd"/>
            <w:r w:rsidRPr="00C55247">
              <w:rPr>
                <w:color w:val="auto"/>
              </w:rPr>
              <w:t xml:space="preserve">, </w:t>
            </w:r>
            <w:r w:rsidR="005A3161" w:rsidRPr="005A3161">
              <w:rPr>
                <w:color w:val="auto"/>
              </w:rPr>
              <w:t>Cabinet Member for a Healthy, Fairer Oxford</w:t>
            </w:r>
            <w:r w:rsidR="00250A14">
              <w:rPr>
                <w:color w:val="auto"/>
              </w:rPr>
              <w:t xml:space="preserve"> </w:t>
            </w:r>
            <w:r w:rsidR="00250A14" w:rsidRPr="00250A14">
              <w:t>and Small Business Champion</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27A1ADA9" w:rsidR="00E508A1" w:rsidRPr="00C55247" w:rsidRDefault="001E556C" w:rsidP="00E508A1">
            <w:pPr>
              <w:rPr>
                <w:rFonts w:cs="Arial"/>
                <w:color w:val="auto"/>
              </w:rPr>
            </w:pPr>
            <w:r>
              <w:rPr>
                <w:color w:val="auto"/>
              </w:rPr>
              <w:t>N</w:t>
            </w:r>
            <w:r>
              <w:t>one</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3EC84B29" w:rsidR="00E508A1" w:rsidRPr="00C55247" w:rsidRDefault="001E556C" w:rsidP="00E508A1">
            <w:pPr>
              <w:rPr>
                <w:rFonts w:cs="Arial"/>
                <w:color w:val="auto"/>
              </w:rPr>
            </w:pPr>
            <w:r>
              <w:rPr>
                <w:color w:val="auto"/>
              </w:rPr>
              <w:t>N</w:t>
            </w:r>
            <w:r>
              <w:t>one</w:t>
            </w:r>
          </w:p>
        </w:tc>
      </w:tr>
    </w:tbl>
    <w:p w14:paraId="759F4236" w14:textId="77777777" w:rsidR="00CE544A" w:rsidRDefault="00CE544A" w:rsidP="004A6D2F">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419"/>
      </w:tblGrid>
      <w:tr w:rsidR="00340B77" w:rsidRPr="00975B07" w14:paraId="6AB9E16B" w14:textId="77777777" w:rsidTr="00900411">
        <w:trPr>
          <w:trHeight w:val="413"/>
        </w:trPr>
        <w:tc>
          <w:tcPr>
            <w:tcW w:w="8845" w:type="dxa"/>
            <w:gridSpan w:val="2"/>
          </w:tcPr>
          <w:p w14:paraId="39BB8A6A" w14:textId="338A76EC" w:rsidR="00340B77" w:rsidRPr="00975B07" w:rsidRDefault="00635E3E" w:rsidP="00FD0B08">
            <w:r>
              <w:t xml:space="preserve">The </w:t>
            </w:r>
            <w:r w:rsidR="00250A14" w:rsidRPr="00250A14">
              <w:t>Cabinet Member for a Healthy, Fairer Oxford and Small Business Champion</w:t>
            </w:r>
            <w:r w:rsidR="00861A1B">
              <w:t xml:space="preserve"> </w:t>
            </w:r>
            <w:r>
              <w:t xml:space="preserve">decides as follows: </w:t>
            </w:r>
          </w:p>
        </w:tc>
      </w:tr>
      <w:tr w:rsidR="00340B77" w:rsidRPr="00975B07" w14:paraId="1817F3CE" w14:textId="77777777" w:rsidTr="00900411">
        <w:trPr>
          <w:trHeight w:val="283"/>
        </w:trPr>
        <w:tc>
          <w:tcPr>
            <w:tcW w:w="426" w:type="dxa"/>
          </w:tcPr>
          <w:p w14:paraId="7809A8B3" w14:textId="77777777" w:rsidR="00340B77" w:rsidRPr="00975B07" w:rsidRDefault="00340B77" w:rsidP="00FD0B08">
            <w:r w:rsidRPr="00975B07">
              <w:lastRenderedPageBreak/>
              <w:t>1.</w:t>
            </w:r>
          </w:p>
        </w:tc>
        <w:tc>
          <w:tcPr>
            <w:tcW w:w="8419" w:type="dxa"/>
            <w:shd w:val="clear" w:color="auto" w:fill="auto"/>
          </w:tcPr>
          <w:p w14:paraId="2599CB46" w14:textId="61745FA2" w:rsidR="00340B77" w:rsidRPr="001356F1" w:rsidRDefault="005A3161" w:rsidP="00FD0B08">
            <w:r>
              <w:rPr>
                <w:rStyle w:val="Firstpagetablebold"/>
              </w:rPr>
              <w:t xml:space="preserve">To award </w:t>
            </w:r>
            <w:r w:rsidRPr="007916C0">
              <w:rPr>
                <w:rStyle w:val="Firstpagetablebold"/>
                <w:b w:val="0"/>
                <w:bCs/>
              </w:rPr>
              <w:t xml:space="preserve">£125,000 to Courtside </w:t>
            </w:r>
            <w:r w:rsidR="00900411" w:rsidRPr="007916C0">
              <w:rPr>
                <w:rStyle w:val="Firstpagetablebold"/>
                <w:b w:val="0"/>
                <w:bCs/>
              </w:rPr>
              <w:t>CIC</w:t>
            </w:r>
            <w:r w:rsidR="0022753B" w:rsidRPr="007916C0">
              <w:rPr>
                <w:rStyle w:val="Firstpagetablebold"/>
                <w:b w:val="0"/>
                <w:bCs/>
              </w:rPr>
              <w:t xml:space="preserve"> to pay for construction costs of the Bury Knowle Hub</w:t>
            </w:r>
          </w:p>
        </w:tc>
      </w:tr>
    </w:tbl>
    <w:p w14:paraId="161FC716" w14:textId="77777777" w:rsidR="00340B77" w:rsidRDefault="00340B77" w:rsidP="004A6D2F"/>
    <w:p w14:paraId="20640FB6" w14:textId="77777777" w:rsidR="00340B77" w:rsidRPr="003E4C33" w:rsidRDefault="00340B77" w:rsidP="004A6D2F">
      <w:pPr>
        <w:rPr>
          <w:rFonts w:cs="Arial"/>
        </w:rPr>
      </w:pPr>
    </w:p>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33557E55" w14:textId="5757DC88" w:rsidR="00CB7A4F" w:rsidRPr="007C1F3D" w:rsidRDefault="00F540F3" w:rsidP="007C1F3D">
      <w:pPr>
        <w:pStyle w:val="ListParagraph"/>
        <w:numPr>
          <w:ilvl w:val="0"/>
          <w:numId w:val="46"/>
        </w:numPr>
        <w:rPr>
          <w:rFonts w:cs="Arial"/>
          <w:color w:val="auto"/>
        </w:rPr>
      </w:pPr>
      <w:r>
        <w:rPr>
          <w:rFonts w:cs="Arial"/>
          <w:color w:val="auto"/>
        </w:rPr>
        <w:t xml:space="preserve">As part of our ongoing contract with Courtside CIC </w:t>
      </w:r>
      <w:r w:rsidR="00717654">
        <w:rPr>
          <w:rFonts w:cs="Arial"/>
          <w:color w:val="auto"/>
        </w:rPr>
        <w:t xml:space="preserve">a project was identified to create a </w:t>
      </w:r>
      <w:r w:rsidR="00A949FD">
        <w:rPr>
          <w:rFonts w:cs="Arial"/>
          <w:color w:val="auto"/>
        </w:rPr>
        <w:t xml:space="preserve">multi activity </w:t>
      </w:r>
      <w:r w:rsidR="00717654">
        <w:rPr>
          <w:rFonts w:cs="Arial"/>
          <w:color w:val="auto"/>
        </w:rPr>
        <w:t xml:space="preserve">hub site at Bury Knowle which </w:t>
      </w:r>
      <w:r w:rsidR="00A949FD">
        <w:rPr>
          <w:rFonts w:cs="Arial"/>
          <w:color w:val="auto"/>
        </w:rPr>
        <w:t>include</w:t>
      </w:r>
      <w:r w:rsidR="00A949FD" w:rsidRPr="00A949FD">
        <w:rPr>
          <w:rFonts w:cs="Arial"/>
          <w:color w:val="auto"/>
        </w:rPr>
        <w:t xml:space="preserve"> new tennis courts, </w:t>
      </w:r>
      <w:proofErr w:type="spellStart"/>
      <w:r w:rsidR="00A949FD" w:rsidRPr="00A949FD">
        <w:rPr>
          <w:rFonts w:cs="Arial"/>
          <w:color w:val="auto"/>
        </w:rPr>
        <w:t>multi use</w:t>
      </w:r>
      <w:proofErr w:type="spellEnd"/>
      <w:r w:rsidR="00A949FD" w:rsidRPr="00A949FD">
        <w:rPr>
          <w:rFonts w:cs="Arial"/>
          <w:color w:val="auto"/>
        </w:rPr>
        <w:t xml:space="preserve"> games court and outdoor activity space as well as a redeveloped pavilion. </w:t>
      </w:r>
      <w:r w:rsidR="00BD1F7A" w:rsidRPr="007C1F3D">
        <w:rPr>
          <w:rFonts w:cs="Arial"/>
          <w:color w:val="auto"/>
        </w:rPr>
        <w:t xml:space="preserve"> </w:t>
      </w:r>
    </w:p>
    <w:p w14:paraId="22E7487E" w14:textId="7B80A113" w:rsidR="00BD1F7A" w:rsidRDefault="009673A8" w:rsidP="00BD1F7A">
      <w:pPr>
        <w:pStyle w:val="bParagraphtext"/>
        <w:rPr>
          <w:rFonts w:cs="Arial"/>
          <w:color w:val="auto"/>
        </w:rPr>
      </w:pPr>
      <w:r>
        <w:rPr>
          <w:rFonts w:cs="Arial"/>
          <w:color w:val="auto"/>
        </w:rPr>
        <w:t>Courtside CIC have sought a contribution of £125,000 from Oxford City Council towards the overall project costs</w:t>
      </w:r>
      <w:r w:rsidR="00214406">
        <w:rPr>
          <w:rFonts w:cs="Arial"/>
          <w:color w:val="auto"/>
        </w:rPr>
        <w:t xml:space="preserve">. This proposal was reviewed and agreed at Development Board in </w:t>
      </w:r>
      <w:r w:rsidR="00BF3BFA">
        <w:rPr>
          <w:rFonts w:cs="Arial"/>
          <w:color w:val="auto"/>
        </w:rPr>
        <w:t>December 2023. This £125,000 has enabled significant external funding to deliver the project which would not have been available directly to the Council.</w:t>
      </w:r>
      <w:r w:rsidR="00DA66F0">
        <w:rPr>
          <w:rFonts w:cs="Arial"/>
          <w:color w:val="auto"/>
        </w:rPr>
        <w:t xml:space="preserve"> </w:t>
      </w:r>
      <w:r w:rsidR="0022753B">
        <w:rPr>
          <w:rFonts w:cs="Arial"/>
          <w:color w:val="auto"/>
        </w:rPr>
        <w:t>This also removed the</w:t>
      </w:r>
      <w:r w:rsidR="003E032C">
        <w:rPr>
          <w:rFonts w:cs="Arial"/>
          <w:color w:val="auto"/>
        </w:rPr>
        <w:t xml:space="preserve"> significant </w:t>
      </w:r>
      <w:r w:rsidR="0022753B">
        <w:rPr>
          <w:rFonts w:cs="Arial"/>
          <w:color w:val="auto"/>
        </w:rPr>
        <w:t xml:space="preserve">maintenance liabilities to the Council for the </w:t>
      </w:r>
      <w:r w:rsidR="003E032C">
        <w:rPr>
          <w:rFonts w:cs="Arial"/>
          <w:color w:val="auto"/>
        </w:rPr>
        <w:t xml:space="preserve">dilapidated old sports pavilion. </w:t>
      </w:r>
      <w:r w:rsidR="00155B5B">
        <w:rPr>
          <w:rFonts w:cs="Arial"/>
          <w:color w:val="auto"/>
        </w:rPr>
        <w:t xml:space="preserve">The recommendation from development board was to enter into a funding agreement with Courtside to provide the funding based on the completion of the </w:t>
      </w:r>
      <w:proofErr w:type="gramStart"/>
      <w:r w:rsidR="00155B5B">
        <w:rPr>
          <w:rFonts w:cs="Arial"/>
          <w:color w:val="auto"/>
        </w:rPr>
        <w:t>projects</w:t>
      </w:r>
      <w:proofErr w:type="gramEnd"/>
      <w:r w:rsidR="00155B5B">
        <w:rPr>
          <w:rFonts w:cs="Arial"/>
          <w:color w:val="auto"/>
        </w:rPr>
        <w:t xml:space="preserve"> objectives</w:t>
      </w:r>
      <w:r w:rsidR="00913FB9">
        <w:rPr>
          <w:rFonts w:cs="Arial"/>
          <w:color w:val="auto"/>
        </w:rPr>
        <w:t>.</w:t>
      </w:r>
    </w:p>
    <w:p w14:paraId="34F1413B" w14:textId="3602CFA8" w:rsidR="00913FB9" w:rsidRDefault="00913FB9" w:rsidP="00BD1F7A">
      <w:pPr>
        <w:pStyle w:val="bParagraphtext"/>
        <w:rPr>
          <w:rFonts w:cs="Arial"/>
          <w:color w:val="auto"/>
        </w:rPr>
      </w:pPr>
      <w:r>
        <w:rPr>
          <w:rFonts w:cs="Arial"/>
          <w:color w:val="auto"/>
        </w:rPr>
        <w:t>Oxford City Council are the freeholder of the land</w:t>
      </w:r>
      <w:r w:rsidR="00E80FF1">
        <w:rPr>
          <w:rFonts w:cs="Arial"/>
          <w:color w:val="auto"/>
        </w:rPr>
        <w:t xml:space="preserve"> </w:t>
      </w:r>
    </w:p>
    <w:p w14:paraId="11E548FA" w14:textId="18BE86BF" w:rsidR="00BF3BFA" w:rsidRPr="00C55247" w:rsidRDefault="00BF3BFA" w:rsidP="00BD1F7A">
      <w:pPr>
        <w:pStyle w:val="bParagraphtext"/>
        <w:rPr>
          <w:rFonts w:cs="Arial"/>
          <w:color w:val="auto"/>
        </w:rPr>
      </w:pPr>
      <w:r>
        <w:rPr>
          <w:rFonts w:cs="Arial"/>
          <w:color w:val="auto"/>
        </w:rPr>
        <w:t xml:space="preserve">The project was subject to a number of external funding </w:t>
      </w:r>
      <w:r w:rsidR="000B0196">
        <w:rPr>
          <w:rFonts w:cs="Arial"/>
          <w:color w:val="auto"/>
        </w:rPr>
        <w:t xml:space="preserve">pots which had specific </w:t>
      </w:r>
      <w:proofErr w:type="gramStart"/>
      <w:r w:rsidR="000B0196">
        <w:rPr>
          <w:rFonts w:cs="Arial"/>
          <w:color w:val="auto"/>
        </w:rPr>
        <w:t>deadlines</w:t>
      </w:r>
      <w:proofErr w:type="gramEnd"/>
      <w:r w:rsidR="000B0196">
        <w:rPr>
          <w:rFonts w:cs="Arial"/>
          <w:color w:val="auto"/>
        </w:rPr>
        <w:t xml:space="preserve"> and the decision was taken by Courtside </w:t>
      </w:r>
      <w:r w:rsidR="00155B5B">
        <w:rPr>
          <w:rFonts w:cs="Arial"/>
          <w:color w:val="auto"/>
        </w:rPr>
        <w:t xml:space="preserve">CIC </w:t>
      </w:r>
      <w:r w:rsidR="000B0196">
        <w:rPr>
          <w:rFonts w:cs="Arial"/>
          <w:color w:val="auto"/>
        </w:rPr>
        <w:t>to start works at their own risk</w:t>
      </w:r>
      <w:r w:rsidR="00DA66F0">
        <w:rPr>
          <w:rFonts w:cs="Arial"/>
          <w:color w:val="auto"/>
        </w:rPr>
        <w:t xml:space="preserve"> and initial cost. The project was completed in June 2024.</w:t>
      </w:r>
    </w:p>
    <w:p w14:paraId="7980A9B5" w14:textId="59B628B0" w:rsidR="001C45A1" w:rsidRPr="00C55247" w:rsidRDefault="001C45A1" w:rsidP="002B6836">
      <w:pPr>
        <w:pStyle w:val="bParagraphtext"/>
        <w:rPr>
          <w:rFonts w:cs="Arial"/>
          <w:color w:val="auto"/>
        </w:rPr>
      </w:pPr>
      <w:r>
        <w:rPr>
          <w:rFonts w:cs="Arial"/>
          <w:color w:val="auto"/>
        </w:rPr>
        <w:t>Budget for the payment is already in place</w:t>
      </w:r>
      <w:r w:rsidR="004C0782">
        <w:rPr>
          <w:rFonts w:cs="Arial"/>
          <w:color w:val="auto"/>
        </w:rPr>
        <w:t xml:space="preserve"> and a funding agreement has been prepared. </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3A24C97A" w14:textId="1C46A752" w:rsidR="006C7D2E" w:rsidRPr="00C55247" w:rsidRDefault="00243B7D" w:rsidP="006C7D2E">
      <w:pPr>
        <w:pStyle w:val="bParagraphtext"/>
        <w:rPr>
          <w:rFonts w:cs="Arial"/>
          <w:color w:val="auto"/>
        </w:rPr>
      </w:pPr>
      <w:r>
        <w:rPr>
          <w:rFonts w:cs="Arial"/>
          <w:color w:val="auto"/>
        </w:rPr>
        <w:t>To provide funding as soon as possible to support the ongoing</w:t>
      </w:r>
      <w:r w:rsidR="00660308">
        <w:rPr>
          <w:rFonts w:cs="Arial"/>
          <w:color w:val="auto"/>
        </w:rPr>
        <w:t xml:space="preserve"> delivery of the </w:t>
      </w:r>
      <w:proofErr w:type="gramStart"/>
      <w:r w:rsidR="00660308">
        <w:rPr>
          <w:rFonts w:cs="Arial"/>
          <w:color w:val="auto"/>
        </w:rPr>
        <w:t>projects</w:t>
      </w:r>
      <w:proofErr w:type="gramEnd"/>
      <w:r w:rsidR="00660308">
        <w:rPr>
          <w:rFonts w:cs="Arial"/>
          <w:color w:val="auto"/>
        </w:rPr>
        <w:t xml:space="preserve"> outcomes</w:t>
      </w:r>
      <w:r w:rsidR="00C7554A">
        <w:rPr>
          <w:rFonts w:cs="Arial"/>
          <w:color w:val="auto"/>
        </w:rPr>
        <w:t>.</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39E9024F" w:rsidR="006C7D2E" w:rsidRPr="00C55247" w:rsidRDefault="00BC1B01" w:rsidP="007C1F3D">
      <w:pPr>
        <w:pStyle w:val="ListParagraph"/>
      </w:pPr>
      <w:r>
        <w:t>Without this funding the project is undeliverable.</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62CB5264" w14:textId="68E9C9BF" w:rsidR="003E032C" w:rsidRPr="00C55247" w:rsidRDefault="003E032C" w:rsidP="6705CB2F">
      <w:pPr>
        <w:pStyle w:val="ListParagraph"/>
        <w:rPr>
          <w:color w:val="auto"/>
        </w:rPr>
      </w:pPr>
      <w:r>
        <w:rPr>
          <w:color w:val="auto"/>
        </w:rPr>
        <w:t xml:space="preserve">The previous pavilion facility and tennis courts were in a very poor condition with significant maintenance liabilities to the Council </w:t>
      </w:r>
      <w:proofErr w:type="gramStart"/>
      <w:r>
        <w:rPr>
          <w:color w:val="auto"/>
        </w:rPr>
        <w:t>and also</w:t>
      </w:r>
      <w:proofErr w:type="gramEnd"/>
      <w:r>
        <w:rPr>
          <w:color w:val="auto"/>
        </w:rPr>
        <w:t xml:space="preserve"> significant reduction in usage of the tennis courts as a result. The project has </w:t>
      </w:r>
      <w:r w:rsidR="00C90DC0">
        <w:rPr>
          <w:color w:val="auto"/>
        </w:rPr>
        <w:t xml:space="preserve">managed to secure significant inwards investment to ensure the future of these courts and their </w:t>
      </w:r>
      <w:proofErr w:type="gramStart"/>
      <w:r w:rsidR="00C90DC0">
        <w:rPr>
          <w:color w:val="auto"/>
        </w:rPr>
        <w:t>long term</w:t>
      </w:r>
      <w:proofErr w:type="gramEnd"/>
      <w:r w:rsidR="00C90DC0">
        <w:rPr>
          <w:color w:val="auto"/>
        </w:rPr>
        <w:t xml:space="preserve"> sustainability. The risk to the Council</w:t>
      </w:r>
      <w:r w:rsidR="00826808">
        <w:rPr>
          <w:color w:val="auto"/>
        </w:rPr>
        <w:t xml:space="preserve"> was that the courts would close in an unplanned way preventing access to all. In summary the project will have a positive impact on protected </w:t>
      </w:r>
      <w:r w:rsidR="00BC1B01">
        <w:rPr>
          <w:color w:val="auto"/>
        </w:rPr>
        <w:t>characteristics</w:t>
      </w:r>
      <w:r w:rsidR="00826808">
        <w:rPr>
          <w:color w:val="auto"/>
        </w:rPr>
        <w:t xml:space="preserve"> enabling successful sport and physical activity interventions.</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BA7FDF1" w14:textId="3817457B" w:rsidR="00907FE6" w:rsidRDefault="00907FE6" w:rsidP="009E68E0">
      <w:pPr>
        <w:pStyle w:val="ListParagraph"/>
        <w:rPr>
          <w:color w:val="auto"/>
        </w:rPr>
      </w:pPr>
      <w:r>
        <w:rPr>
          <w:color w:val="auto"/>
        </w:rPr>
        <w:lastRenderedPageBreak/>
        <w:t>There is currently a risk of contractor legal challenge as well as the contractor ceasing to operate. This could pose a risk to income to the Council, we currently receive circa £75,000 pa from our contracts with Courtside.</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4619146" w14:textId="77777777" w:rsidR="00BA4B1D" w:rsidRPr="00BA4B1D" w:rsidRDefault="00BA4B1D" w:rsidP="00BA4B1D">
            <w:pPr>
              <w:rPr>
                <w:rStyle w:val="bParagraphtextChar"/>
                <w:rFonts w:cs="Arial"/>
                <w:color w:val="auto"/>
              </w:rPr>
            </w:pPr>
            <w:r w:rsidRPr="00BA4B1D">
              <w:rPr>
                <w:rStyle w:val="bParagraphtextChar"/>
                <w:rFonts w:cs="Arial"/>
                <w:color w:val="auto"/>
              </w:rPr>
              <w:t xml:space="preserve">No financial or budgetary implications; This outstanding payment was accounted for during at 24/25 Year-end process. </w:t>
            </w:r>
          </w:p>
          <w:p w14:paraId="0696855A" w14:textId="77FE10C2" w:rsidR="00372A82" w:rsidRPr="00C55247" w:rsidRDefault="00CB7A4F" w:rsidP="00CB7A4F">
            <w:pPr>
              <w:rPr>
                <w:rFonts w:cs="Arial"/>
                <w:color w:val="auto"/>
              </w:rPr>
            </w:pPr>
            <w:r w:rsidRPr="00C55247">
              <w:rPr>
                <w:rStyle w:val="bParagraphtextChar"/>
                <w:rFonts w:cs="Arial"/>
                <w:color w:val="auto"/>
              </w:rPr>
              <w:t xml:space="preserve"> </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4252AEEC" w14:textId="77777777" w:rsidR="00BA4B1D" w:rsidRPr="00BA4B1D" w:rsidRDefault="00BA4B1D" w:rsidP="00BA4B1D">
            <w:pPr>
              <w:pStyle w:val="Bulletpoints"/>
              <w:numPr>
                <w:ilvl w:val="0"/>
                <w:numId w:val="0"/>
              </w:numPr>
              <w:rPr>
                <w:rFonts w:cs="Arial"/>
                <w:color w:val="auto"/>
              </w:rPr>
            </w:pPr>
            <w:r w:rsidRPr="00BA4B1D">
              <w:rPr>
                <w:rFonts w:cs="Arial"/>
                <w:color w:val="auto"/>
              </w:rPr>
              <w:t xml:space="preserve">Paul </w:t>
            </w:r>
            <w:proofErr w:type="spellStart"/>
            <w:r w:rsidRPr="00BA4B1D">
              <w:rPr>
                <w:rFonts w:cs="Arial"/>
                <w:color w:val="auto"/>
              </w:rPr>
              <w:t>Swaffield</w:t>
            </w:r>
            <w:proofErr w:type="spellEnd"/>
          </w:p>
          <w:p w14:paraId="22C59287" w14:textId="77777777" w:rsidR="00BA4B1D" w:rsidRDefault="00BA4B1D" w:rsidP="00C076B9">
            <w:pPr>
              <w:pStyle w:val="Bulletpoints"/>
              <w:numPr>
                <w:ilvl w:val="0"/>
                <w:numId w:val="0"/>
              </w:numPr>
              <w:rPr>
                <w:rFonts w:cs="Arial"/>
                <w:color w:val="auto"/>
              </w:rPr>
            </w:pPr>
            <w:r w:rsidRPr="00BA4B1D">
              <w:rPr>
                <w:rFonts w:cs="Arial"/>
                <w:color w:val="auto"/>
              </w:rPr>
              <w:t>Finance Project Accountant</w:t>
            </w:r>
          </w:p>
          <w:p w14:paraId="7DB0BC85" w14:textId="51B4DE6B"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312D1899" w:rsidR="001A1BA1" w:rsidRPr="00C55247" w:rsidRDefault="00BA4B1D" w:rsidP="00C076B9">
            <w:pPr>
              <w:pStyle w:val="Bulletpoints"/>
              <w:numPr>
                <w:ilvl w:val="0"/>
                <w:numId w:val="0"/>
              </w:numPr>
              <w:rPr>
                <w:rFonts w:cs="Arial"/>
                <w:color w:val="auto"/>
              </w:rPr>
            </w:pPr>
            <w:r w:rsidRPr="00BA4B1D">
              <w:rPr>
                <w:rFonts w:cs="Arial"/>
                <w:color w:val="auto"/>
              </w:rPr>
              <w:t>23/06/2025</w:t>
            </w: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30CEDD0B" w14:textId="7EACD7BC" w:rsidR="0035007E" w:rsidRDefault="005F2F23" w:rsidP="00706930">
            <w:pPr>
              <w:autoSpaceDE w:val="0"/>
              <w:autoSpaceDN w:val="0"/>
              <w:adjustRightInd w:val="0"/>
              <w:spacing w:after="0"/>
              <w:rPr>
                <w:rFonts w:cs="Arial"/>
                <w:color w:val="auto"/>
              </w:rPr>
            </w:pPr>
            <w:r>
              <w:rPr>
                <w:rFonts w:cs="Arial"/>
                <w:color w:val="auto"/>
              </w:rPr>
              <w:t xml:space="preserve">In accordance with Part 4.5 of the Constitution, giving grants is a decision that needs to be agreed by the Cabinet. The Leader </w:t>
            </w:r>
            <w:r w:rsidR="006620C7">
              <w:rPr>
                <w:rFonts w:cs="Arial"/>
                <w:color w:val="auto"/>
              </w:rPr>
              <w:t xml:space="preserve">is responsible for all executive functions of the Council and </w:t>
            </w:r>
            <w:r>
              <w:rPr>
                <w:rFonts w:cs="Arial"/>
                <w:color w:val="auto"/>
              </w:rPr>
              <w:t>may delegate executive responsibilities to a single Cabinet Member with or without consultation with officers or other Cabinet Members.</w:t>
            </w:r>
          </w:p>
          <w:p w14:paraId="1FAD24ED" w14:textId="77777777" w:rsidR="00706930" w:rsidRDefault="00706930" w:rsidP="00250A14">
            <w:pPr>
              <w:autoSpaceDE w:val="0"/>
              <w:autoSpaceDN w:val="0"/>
              <w:adjustRightInd w:val="0"/>
              <w:spacing w:after="0"/>
              <w:rPr>
                <w:rFonts w:cs="Arial"/>
                <w:color w:val="auto"/>
              </w:rPr>
            </w:pPr>
          </w:p>
          <w:p w14:paraId="7C74B55B" w14:textId="07A29FE0" w:rsidR="006620C7" w:rsidRDefault="006620C7" w:rsidP="00372A82">
            <w:pPr>
              <w:pStyle w:val="bParagraphtext"/>
              <w:numPr>
                <w:ilvl w:val="0"/>
                <w:numId w:val="0"/>
              </w:numPr>
              <w:tabs>
                <w:tab w:val="clear" w:pos="426"/>
                <w:tab w:val="left" w:pos="176"/>
              </w:tabs>
              <w:rPr>
                <w:rFonts w:cs="Arial"/>
                <w:color w:val="auto"/>
              </w:rPr>
            </w:pPr>
            <w:r>
              <w:rPr>
                <w:rFonts w:cs="Arial"/>
                <w:color w:val="auto"/>
              </w:rPr>
              <w:t xml:space="preserve">The Council wishes to grant the sum of £125,000 to Courtside CIC for the purposes set out above. The proposed arrangement constitutes an award of a </w:t>
            </w:r>
            <w:proofErr w:type="gramStart"/>
            <w:r>
              <w:rPr>
                <w:rFonts w:cs="Arial"/>
                <w:color w:val="auto"/>
              </w:rPr>
              <w:t>Grant</w:t>
            </w:r>
            <w:proofErr w:type="gramEnd"/>
            <w:r>
              <w:rPr>
                <w:rFonts w:cs="Arial"/>
                <w:color w:val="auto"/>
              </w:rPr>
              <w:t xml:space="preserve"> and the Council needs to follow its internal governance procedures</w:t>
            </w:r>
            <w:r w:rsidR="00E42BF7">
              <w:rPr>
                <w:rFonts w:cs="Arial"/>
                <w:color w:val="auto"/>
              </w:rPr>
              <w:t xml:space="preserve"> and be satisfied that it is in compliance with </w:t>
            </w:r>
            <w:proofErr w:type="spellStart"/>
            <w:r w:rsidR="00E42BF7">
              <w:rPr>
                <w:rFonts w:cs="Arial"/>
                <w:color w:val="auto"/>
              </w:rPr>
              <w:t>th</w:t>
            </w:r>
            <w:proofErr w:type="spellEnd"/>
            <w:r w:rsidR="00E42BF7">
              <w:rPr>
                <w:rFonts w:cs="Arial"/>
                <w:color w:val="auto"/>
              </w:rPr>
              <w:t xml:space="preserve"> law</w:t>
            </w:r>
            <w:r>
              <w:rPr>
                <w:rFonts w:cs="Arial"/>
                <w:color w:val="auto"/>
              </w:rPr>
              <w:t xml:space="preserve"> before it awards the aforementioned funding. </w:t>
            </w:r>
          </w:p>
          <w:p w14:paraId="72DE834C" w14:textId="41B75942" w:rsidR="006620C7" w:rsidRDefault="006620C7" w:rsidP="00372A82">
            <w:pPr>
              <w:pStyle w:val="bParagraphtext"/>
              <w:numPr>
                <w:ilvl w:val="0"/>
                <w:numId w:val="0"/>
              </w:numPr>
              <w:tabs>
                <w:tab w:val="clear" w:pos="426"/>
                <w:tab w:val="left" w:pos="176"/>
              </w:tabs>
              <w:rPr>
                <w:rFonts w:cs="Arial"/>
                <w:color w:val="auto"/>
              </w:rPr>
            </w:pPr>
            <w:r>
              <w:rPr>
                <w:rFonts w:cs="Arial"/>
                <w:color w:val="auto"/>
              </w:rPr>
              <w:t xml:space="preserve">It is understood that the Council is a freehold owner of the </w:t>
            </w:r>
            <w:r w:rsidR="00706930">
              <w:rPr>
                <w:rFonts w:cs="Arial"/>
                <w:color w:val="auto"/>
              </w:rPr>
              <w:t>property</w:t>
            </w:r>
            <w:r>
              <w:rPr>
                <w:rFonts w:cs="Arial"/>
                <w:color w:val="auto"/>
              </w:rPr>
              <w:t xml:space="preserve"> and a long-term lease and a</w:t>
            </w:r>
            <w:r w:rsidR="00706930">
              <w:rPr>
                <w:rFonts w:cs="Arial"/>
                <w:color w:val="auto"/>
              </w:rPr>
              <w:t>lso a</w:t>
            </w:r>
            <w:r>
              <w:rPr>
                <w:rFonts w:cs="Arial"/>
                <w:color w:val="auto"/>
              </w:rPr>
              <w:t xml:space="preserve"> concession contract </w:t>
            </w:r>
            <w:proofErr w:type="gramStart"/>
            <w:r>
              <w:rPr>
                <w:rFonts w:cs="Arial"/>
                <w:color w:val="auto"/>
              </w:rPr>
              <w:t>have</w:t>
            </w:r>
            <w:proofErr w:type="gramEnd"/>
            <w:r>
              <w:rPr>
                <w:rFonts w:cs="Arial"/>
                <w:color w:val="auto"/>
              </w:rPr>
              <w:t xml:space="preserve"> been awarded to Courtside CIC</w:t>
            </w:r>
            <w:r w:rsidR="00706930">
              <w:rPr>
                <w:rFonts w:cs="Arial"/>
                <w:color w:val="auto"/>
              </w:rPr>
              <w:t xml:space="preserve"> to operate the site</w:t>
            </w:r>
            <w:r>
              <w:rPr>
                <w:rFonts w:cs="Arial"/>
                <w:color w:val="auto"/>
              </w:rPr>
              <w:t xml:space="preserve">. </w:t>
            </w:r>
          </w:p>
          <w:p w14:paraId="3D2ABBF5" w14:textId="0DA3CA80" w:rsidR="009E24C1" w:rsidRDefault="00706930" w:rsidP="00372A82">
            <w:pPr>
              <w:pStyle w:val="bParagraphtext"/>
              <w:numPr>
                <w:ilvl w:val="0"/>
                <w:numId w:val="0"/>
              </w:numPr>
              <w:tabs>
                <w:tab w:val="clear" w:pos="426"/>
                <w:tab w:val="left" w:pos="176"/>
              </w:tabs>
              <w:rPr>
                <w:rFonts w:cs="Arial"/>
                <w:color w:val="auto"/>
              </w:rPr>
            </w:pPr>
            <w:r>
              <w:rPr>
                <w:rFonts w:cs="Arial"/>
                <w:color w:val="auto"/>
              </w:rPr>
              <w:t>Before the Council can award the funding, t</w:t>
            </w:r>
            <w:r w:rsidR="006620C7">
              <w:rPr>
                <w:rFonts w:cs="Arial"/>
                <w:color w:val="auto"/>
              </w:rPr>
              <w:t>he proposed grant must satisfy the requirements of the Subsidy Control Act 202</w:t>
            </w:r>
            <w:r w:rsidR="009E24C1">
              <w:rPr>
                <w:rFonts w:cs="Arial"/>
                <w:color w:val="auto"/>
              </w:rPr>
              <w:t>2</w:t>
            </w:r>
            <w:r w:rsidR="006620C7">
              <w:rPr>
                <w:rFonts w:cs="Arial"/>
                <w:color w:val="auto"/>
              </w:rPr>
              <w:t>.</w:t>
            </w:r>
            <w:r w:rsidR="009E24C1">
              <w:rPr>
                <w:rFonts w:cs="Arial"/>
                <w:color w:val="auto"/>
              </w:rPr>
              <w:t xml:space="preserve"> </w:t>
            </w:r>
          </w:p>
          <w:p w14:paraId="6AF6A7F7" w14:textId="66F07408" w:rsidR="009E24C1" w:rsidRDefault="009E24C1" w:rsidP="00372A82">
            <w:pPr>
              <w:pStyle w:val="bParagraphtext"/>
              <w:numPr>
                <w:ilvl w:val="0"/>
                <w:numId w:val="0"/>
              </w:numPr>
              <w:tabs>
                <w:tab w:val="clear" w:pos="426"/>
                <w:tab w:val="left" w:pos="176"/>
              </w:tabs>
              <w:rPr>
                <w:rFonts w:cs="Arial"/>
                <w:color w:val="auto"/>
              </w:rPr>
            </w:pPr>
            <w:r>
              <w:rPr>
                <w:rFonts w:cs="Arial"/>
                <w:color w:val="auto"/>
              </w:rPr>
              <w:t xml:space="preserve">Pursuant to the Subsidy Control Act 2022, the Council could argue that the proposed award is not a “subsidy” as it </w:t>
            </w:r>
            <w:r>
              <w:rPr>
                <w:rFonts w:cs="Arial"/>
                <w:color w:val="auto"/>
              </w:rPr>
              <w:lastRenderedPageBreak/>
              <w:t xml:space="preserve">does not satisfy the definition of a “subsidy” under the Subsidy Control Act 2022. </w:t>
            </w:r>
          </w:p>
          <w:p w14:paraId="5F5CC931" w14:textId="7856A163" w:rsidR="002D2F92" w:rsidRDefault="00E42BF7" w:rsidP="009E24C1">
            <w:pPr>
              <w:pStyle w:val="bParagraphtext"/>
              <w:numPr>
                <w:ilvl w:val="0"/>
                <w:numId w:val="0"/>
              </w:numPr>
              <w:tabs>
                <w:tab w:val="left" w:pos="176"/>
              </w:tabs>
              <w:rPr>
                <w:rFonts w:cs="Arial"/>
                <w:color w:val="auto"/>
              </w:rPr>
            </w:pPr>
            <w:r>
              <w:rPr>
                <w:rFonts w:cs="Arial"/>
                <w:color w:val="auto"/>
              </w:rPr>
              <w:t>T</w:t>
            </w:r>
            <w:r w:rsidR="009E24C1">
              <w:rPr>
                <w:rFonts w:cs="Arial"/>
                <w:color w:val="auto"/>
              </w:rPr>
              <w:t>he f</w:t>
            </w:r>
            <w:r w:rsidR="009E24C1" w:rsidRPr="009E24C1">
              <w:rPr>
                <w:rFonts w:cs="Arial"/>
                <w:color w:val="auto"/>
              </w:rPr>
              <w:t>inancial assistance</w:t>
            </w:r>
            <w:r w:rsidR="009E24C1">
              <w:rPr>
                <w:rFonts w:cs="Arial"/>
                <w:color w:val="auto"/>
              </w:rPr>
              <w:t xml:space="preserve"> (grant) </w:t>
            </w:r>
            <w:r w:rsidR="009E24C1" w:rsidRPr="009E24C1">
              <w:rPr>
                <w:rFonts w:cs="Arial"/>
                <w:color w:val="auto"/>
              </w:rPr>
              <w:t>will not confer an economic advantage</w:t>
            </w:r>
            <w:r w:rsidR="002D2F92">
              <w:rPr>
                <w:rFonts w:cs="Arial"/>
                <w:color w:val="auto"/>
              </w:rPr>
              <w:t xml:space="preserve"> (thus the grant would not be a “subsidy”)</w:t>
            </w:r>
            <w:r w:rsidR="009E24C1" w:rsidRPr="009E24C1">
              <w:rPr>
                <w:rFonts w:cs="Arial"/>
                <w:color w:val="auto"/>
              </w:rPr>
              <w:t xml:space="preserve"> if it could reasonably be considered to have been given on</w:t>
            </w:r>
            <w:r w:rsidR="009E24C1">
              <w:rPr>
                <w:rFonts w:cs="Arial"/>
                <w:color w:val="auto"/>
              </w:rPr>
              <w:t xml:space="preserve"> </w:t>
            </w:r>
            <w:r w:rsidR="009E24C1" w:rsidRPr="009E24C1">
              <w:rPr>
                <w:rFonts w:cs="Arial"/>
                <w:color w:val="auto"/>
              </w:rPr>
              <w:t>the same terms as it could have been obtained on the market. This is known as the ‘commercial</w:t>
            </w:r>
            <w:r w:rsidR="009E24C1">
              <w:rPr>
                <w:rFonts w:cs="Arial"/>
                <w:color w:val="auto"/>
              </w:rPr>
              <w:t xml:space="preserve"> </w:t>
            </w:r>
            <w:r w:rsidR="009E24C1" w:rsidRPr="009E24C1">
              <w:rPr>
                <w:rFonts w:cs="Arial"/>
                <w:color w:val="auto"/>
              </w:rPr>
              <w:t xml:space="preserve">market operator’ (CMO) principle. </w:t>
            </w:r>
          </w:p>
          <w:p w14:paraId="0B919A02" w14:textId="02389699" w:rsidR="009E24C1" w:rsidRDefault="002D2F92" w:rsidP="00250A14">
            <w:pPr>
              <w:pStyle w:val="bParagraphtext"/>
              <w:numPr>
                <w:ilvl w:val="0"/>
                <w:numId w:val="0"/>
              </w:numPr>
              <w:tabs>
                <w:tab w:val="left" w:pos="176"/>
              </w:tabs>
              <w:rPr>
                <w:rFonts w:cs="Arial"/>
                <w:color w:val="auto"/>
              </w:rPr>
            </w:pPr>
            <w:r>
              <w:rPr>
                <w:rFonts w:cs="Arial"/>
                <w:color w:val="auto"/>
              </w:rPr>
              <w:t>The Council c</w:t>
            </w:r>
            <w:r w:rsidR="009E24C1" w:rsidRPr="009E24C1">
              <w:rPr>
                <w:rFonts w:cs="Arial"/>
                <w:color w:val="auto"/>
              </w:rPr>
              <w:t>ould argue that a reasonable landlord operating</w:t>
            </w:r>
            <w:r w:rsidR="009E24C1">
              <w:rPr>
                <w:rFonts w:cs="Arial"/>
                <w:color w:val="auto"/>
              </w:rPr>
              <w:t xml:space="preserve"> </w:t>
            </w:r>
            <w:r w:rsidR="009E24C1" w:rsidRPr="009E24C1">
              <w:rPr>
                <w:rFonts w:cs="Arial"/>
                <w:color w:val="auto"/>
              </w:rPr>
              <w:t xml:space="preserve">on market terms would invest £125k into </w:t>
            </w:r>
            <w:r w:rsidR="00706930">
              <w:rPr>
                <w:rFonts w:cs="Arial"/>
                <w:color w:val="auto"/>
              </w:rPr>
              <w:t xml:space="preserve">its </w:t>
            </w:r>
            <w:r w:rsidR="009E24C1" w:rsidRPr="009E24C1">
              <w:rPr>
                <w:rFonts w:cs="Arial"/>
                <w:color w:val="auto"/>
              </w:rPr>
              <w:t xml:space="preserve">own property especially if the tenant </w:t>
            </w:r>
            <w:r w:rsidR="00706930">
              <w:rPr>
                <w:rFonts w:cs="Arial"/>
                <w:color w:val="auto"/>
              </w:rPr>
              <w:t>i</w:t>
            </w:r>
            <w:r>
              <w:rPr>
                <w:rFonts w:cs="Arial"/>
                <w:color w:val="auto"/>
              </w:rPr>
              <w:t>s</w:t>
            </w:r>
            <w:r w:rsidR="009E24C1" w:rsidRPr="009E24C1">
              <w:rPr>
                <w:rFonts w:cs="Arial"/>
                <w:color w:val="auto"/>
              </w:rPr>
              <w:t xml:space="preserve"> als</w:t>
            </w:r>
            <w:r w:rsidR="009E24C1">
              <w:rPr>
                <w:rFonts w:cs="Arial"/>
                <w:color w:val="auto"/>
              </w:rPr>
              <w:t xml:space="preserve">o </w:t>
            </w:r>
            <w:r w:rsidR="009E24C1" w:rsidRPr="009E24C1">
              <w:rPr>
                <w:rFonts w:cs="Arial"/>
                <w:color w:val="auto"/>
              </w:rPr>
              <w:t xml:space="preserve">investing </w:t>
            </w:r>
            <w:r>
              <w:rPr>
                <w:rFonts w:cs="Arial"/>
                <w:color w:val="auto"/>
              </w:rPr>
              <w:t>a significant amount (circa. £700k) of its own funding. This would significantly increase the value of the Council’s asset</w:t>
            </w:r>
            <w:r w:rsidR="00706930">
              <w:rPr>
                <w:rFonts w:cs="Arial"/>
                <w:color w:val="auto"/>
              </w:rPr>
              <w:t xml:space="preserve"> and</w:t>
            </w:r>
            <w:r>
              <w:rPr>
                <w:rFonts w:cs="Arial"/>
                <w:color w:val="auto"/>
              </w:rPr>
              <w:t xml:space="preserve"> </w:t>
            </w:r>
            <w:proofErr w:type="gramStart"/>
            <w:r>
              <w:rPr>
                <w:rFonts w:cs="Arial"/>
                <w:color w:val="auto"/>
              </w:rPr>
              <w:t>in excess of</w:t>
            </w:r>
            <w:proofErr w:type="gramEnd"/>
            <w:r>
              <w:rPr>
                <w:rFonts w:cs="Arial"/>
                <w:color w:val="auto"/>
              </w:rPr>
              <w:t xml:space="preserve"> the Council’s investment of £125k. </w:t>
            </w:r>
            <w:r w:rsidR="00E42BF7">
              <w:rPr>
                <w:rFonts w:cs="Arial"/>
                <w:color w:val="auto"/>
              </w:rPr>
              <w:t xml:space="preserve">In </w:t>
            </w:r>
            <w:proofErr w:type="gramStart"/>
            <w:r w:rsidR="00E42BF7">
              <w:rPr>
                <w:rFonts w:cs="Arial"/>
                <w:color w:val="auto"/>
              </w:rPr>
              <w:t>addition</w:t>
            </w:r>
            <w:proofErr w:type="gramEnd"/>
            <w:r w:rsidR="00E42BF7">
              <w:rPr>
                <w:rFonts w:cs="Arial"/>
                <w:color w:val="auto"/>
              </w:rPr>
              <w:t xml:space="preserve"> and as stated in the Finance comments, the investment of £125k would also generate a return of £9k per annum</w:t>
            </w:r>
            <w:r w:rsidR="00706930">
              <w:rPr>
                <w:rFonts w:cs="Arial"/>
                <w:color w:val="auto"/>
              </w:rPr>
              <w:t xml:space="preserve"> which is in line with the market rate</w:t>
            </w:r>
            <w:r w:rsidR="00E42BF7">
              <w:rPr>
                <w:rFonts w:cs="Arial"/>
                <w:color w:val="auto"/>
              </w:rPr>
              <w:t xml:space="preserve">. </w:t>
            </w:r>
          </w:p>
          <w:p w14:paraId="54552D6D" w14:textId="218DACCB" w:rsidR="00E42BF7" w:rsidRDefault="00E42BF7" w:rsidP="00372A82">
            <w:pPr>
              <w:pStyle w:val="bParagraphtext"/>
              <w:numPr>
                <w:ilvl w:val="0"/>
                <w:numId w:val="0"/>
              </w:numPr>
              <w:tabs>
                <w:tab w:val="clear" w:pos="426"/>
                <w:tab w:val="left" w:pos="176"/>
              </w:tabs>
              <w:rPr>
                <w:rFonts w:cs="Arial"/>
                <w:color w:val="auto"/>
              </w:rPr>
            </w:pPr>
            <w:r>
              <w:rPr>
                <w:rFonts w:cs="Arial"/>
                <w:color w:val="auto"/>
              </w:rPr>
              <w:t xml:space="preserve">The Council needs to be satisfied that when </w:t>
            </w:r>
            <w:proofErr w:type="gramStart"/>
            <w:r>
              <w:rPr>
                <w:rFonts w:cs="Arial"/>
                <w:color w:val="auto"/>
              </w:rPr>
              <w:t>taking into account</w:t>
            </w:r>
            <w:proofErr w:type="gramEnd"/>
            <w:r w:rsidRPr="00E42BF7">
              <w:rPr>
                <w:rFonts w:cs="Arial"/>
                <w:color w:val="auto"/>
              </w:rPr>
              <w:t xml:space="preserve"> only </w:t>
            </w:r>
            <w:r>
              <w:rPr>
                <w:rFonts w:cs="Arial"/>
                <w:color w:val="auto"/>
              </w:rPr>
              <w:t>the Council</w:t>
            </w:r>
            <w:r w:rsidR="00706930">
              <w:rPr>
                <w:rFonts w:cs="Arial"/>
                <w:color w:val="auto"/>
              </w:rPr>
              <w:t>’s</w:t>
            </w:r>
            <w:r>
              <w:rPr>
                <w:rFonts w:cs="Arial"/>
                <w:color w:val="auto"/>
              </w:rPr>
              <w:t xml:space="preserve"> </w:t>
            </w:r>
            <w:r w:rsidRPr="00E42BF7">
              <w:rPr>
                <w:rFonts w:cs="Arial"/>
                <w:color w:val="auto"/>
              </w:rPr>
              <w:t>commercial objectives</w:t>
            </w:r>
            <w:r>
              <w:rPr>
                <w:rFonts w:cs="Arial"/>
                <w:color w:val="auto"/>
              </w:rPr>
              <w:t xml:space="preserve"> </w:t>
            </w:r>
            <w:r w:rsidR="00706930">
              <w:rPr>
                <w:rFonts w:cs="Arial"/>
                <w:color w:val="auto"/>
              </w:rPr>
              <w:t xml:space="preserve">(but </w:t>
            </w:r>
            <w:r>
              <w:rPr>
                <w:rFonts w:cs="Arial"/>
                <w:color w:val="auto"/>
              </w:rPr>
              <w:t>not public policy), the proposed</w:t>
            </w:r>
            <w:r w:rsidR="00706930">
              <w:rPr>
                <w:rFonts w:cs="Arial"/>
                <w:color w:val="auto"/>
              </w:rPr>
              <w:t xml:space="preserve"> award of grant funding represents an investment that a reasonable commercial landlord operating</w:t>
            </w:r>
            <w:r w:rsidR="00706930" w:rsidRPr="00706930">
              <w:rPr>
                <w:rFonts w:cs="Arial"/>
                <w:color w:val="auto"/>
              </w:rPr>
              <w:t xml:space="preserve"> on the market</w:t>
            </w:r>
            <w:r w:rsidR="00706930">
              <w:rPr>
                <w:rFonts w:cs="Arial"/>
                <w:color w:val="auto"/>
              </w:rPr>
              <w:t xml:space="preserve"> terms</w:t>
            </w:r>
            <w:r w:rsidR="00706930" w:rsidRPr="00706930">
              <w:rPr>
                <w:rFonts w:cs="Arial"/>
                <w:color w:val="auto"/>
              </w:rPr>
              <w:t xml:space="preserve"> </w:t>
            </w:r>
            <w:r w:rsidR="00706930">
              <w:rPr>
                <w:rFonts w:cs="Arial"/>
                <w:color w:val="auto"/>
              </w:rPr>
              <w:t xml:space="preserve">would make. </w:t>
            </w:r>
          </w:p>
          <w:p w14:paraId="2631E559" w14:textId="0D738C66" w:rsidR="005F2265" w:rsidRDefault="005F2265" w:rsidP="00372A82">
            <w:pPr>
              <w:pStyle w:val="bParagraphtext"/>
              <w:numPr>
                <w:ilvl w:val="0"/>
                <w:numId w:val="0"/>
              </w:numPr>
              <w:tabs>
                <w:tab w:val="clear" w:pos="426"/>
                <w:tab w:val="left" w:pos="176"/>
              </w:tabs>
              <w:rPr>
                <w:rFonts w:cs="Arial"/>
                <w:color w:val="auto"/>
              </w:rPr>
            </w:pPr>
            <w:r>
              <w:rPr>
                <w:rFonts w:cs="Arial"/>
                <w:color w:val="auto"/>
              </w:rPr>
              <w:t>Lastly, the proposed funding will be governed by the Grant Agreement to be signed by both parties which will ensure that the funding will be spent in accordance with the Council’s requirements.</w:t>
            </w:r>
          </w:p>
          <w:p w14:paraId="11BAD199" w14:textId="56146AD0" w:rsidR="00372A82" w:rsidRPr="00C55247" w:rsidRDefault="00CB7A4F" w:rsidP="00CB7A4F">
            <w:pPr>
              <w:rPr>
                <w:rFonts w:cs="Arial"/>
                <w:color w:val="auto"/>
              </w:rPr>
            </w:pPr>
            <w:r w:rsidRPr="00C55247">
              <w:rPr>
                <w:rStyle w:val="bParagraphtextChar"/>
                <w:rFonts w:cs="Arial"/>
                <w:color w:val="auto"/>
              </w:rPr>
              <w:t xml:space="preserve"> </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lastRenderedPageBreak/>
              <w:t>Completed by:</w:t>
            </w:r>
          </w:p>
          <w:p w14:paraId="750C71F0" w14:textId="77777777" w:rsidR="00810555" w:rsidRDefault="006620C7" w:rsidP="001A1BA1">
            <w:pPr>
              <w:pStyle w:val="Bulletpoints"/>
              <w:numPr>
                <w:ilvl w:val="0"/>
                <w:numId w:val="0"/>
              </w:numPr>
              <w:rPr>
                <w:rFonts w:cs="Arial"/>
                <w:color w:val="auto"/>
              </w:rPr>
            </w:pPr>
            <w:r>
              <w:rPr>
                <w:rFonts w:cs="Arial"/>
                <w:color w:val="auto"/>
              </w:rPr>
              <w:t xml:space="preserve">Justin </w:t>
            </w:r>
            <w:proofErr w:type="spellStart"/>
            <w:r>
              <w:rPr>
                <w:rFonts w:cs="Arial"/>
                <w:color w:val="auto"/>
              </w:rPr>
              <w:t>Zizys</w:t>
            </w:r>
            <w:proofErr w:type="spellEnd"/>
          </w:p>
          <w:p w14:paraId="62D75828" w14:textId="41E1231A"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39996CFA" w:rsidR="00372A82" w:rsidRPr="00C55247" w:rsidRDefault="00706930" w:rsidP="001A1BA1">
            <w:pPr>
              <w:pStyle w:val="Bulletpoints"/>
              <w:numPr>
                <w:ilvl w:val="0"/>
                <w:numId w:val="0"/>
              </w:numPr>
              <w:rPr>
                <w:rFonts w:cs="Arial"/>
                <w:color w:val="auto"/>
              </w:rPr>
            </w:pPr>
            <w:r>
              <w:rPr>
                <w:rFonts w:cs="Arial"/>
                <w:color w:val="auto"/>
              </w:rPr>
              <w:t>25.6.2025</w:t>
            </w: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6190423E" w:rsidR="00CB7A4F" w:rsidRPr="00C55247" w:rsidRDefault="00810555" w:rsidP="00372A82">
            <w:pPr>
              <w:pStyle w:val="bParagraphtext"/>
              <w:numPr>
                <w:ilvl w:val="0"/>
                <w:numId w:val="0"/>
              </w:numPr>
              <w:rPr>
                <w:rFonts w:cs="Arial"/>
                <w:color w:val="auto"/>
              </w:rPr>
            </w:pPr>
            <w:r>
              <w:rPr>
                <w:rFonts w:cs="Arial"/>
                <w:color w:val="auto"/>
              </w:rPr>
              <w:t>N/A</w:t>
            </w:r>
          </w:p>
        </w:tc>
        <w:tc>
          <w:tcPr>
            <w:tcW w:w="3026" w:type="dxa"/>
          </w:tcPr>
          <w:p w14:paraId="3B8B8D42" w14:textId="77777777" w:rsidR="0047658A" w:rsidRPr="00C55247" w:rsidRDefault="0047658A" w:rsidP="0047658A">
            <w:pPr>
              <w:pStyle w:val="Bulletpoints"/>
              <w:numPr>
                <w:ilvl w:val="0"/>
                <w:numId w:val="0"/>
              </w:numPr>
              <w:rPr>
                <w:rFonts w:cs="Arial"/>
                <w:b/>
                <w:color w:val="auto"/>
              </w:rPr>
            </w:pPr>
            <w:r w:rsidRPr="00C55247">
              <w:rPr>
                <w:rFonts w:cs="Arial"/>
                <w:b/>
                <w:color w:val="auto"/>
              </w:rPr>
              <w:t>Completed by:</w:t>
            </w:r>
          </w:p>
          <w:p w14:paraId="73B6DE03" w14:textId="2B94FC66" w:rsidR="0047658A" w:rsidRDefault="00E06C85" w:rsidP="0047658A">
            <w:pPr>
              <w:pStyle w:val="Bulletpoints"/>
              <w:numPr>
                <w:ilvl w:val="0"/>
                <w:numId w:val="0"/>
              </w:numPr>
              <w:rPr>
                <w:rFonts w:cs="Arial"/>
                <w:color w:val="auto"/>
              </w:rPr>
            </w:pPr>
            <w:r>
              <w:rPr>
                <w:rFonts w:cs="Arial"/>
                <w:color w:val="auto"/>
              </w:rPr>
              <w:t>Emma Griffiths</w:t>
            </w:r>
          </w:p>
          <w:p w14:paraId="49700C67" w14:textId="77777777" w:rsidR="0047658A" w:rsidRPr="00C55247" w:rsidRDefault="0047658A" w:rsidP="0047658A">
            <w:pPr>
              <w:pStyle w:val="Bulletpoints"/>
              <w:numPr>
                <w:ilvl w:val="0"/>
                <w:numId w:val="0"/>
              </w:numPr>
              <w:rPr>
                <w:rFonts w:cs="Arial"/>
                <w:b/>
                <w:color w:val="auto"/>
              </w:rPr>
            </w:pPr>
            <w:r w:rsidRPr="00C55247">
              <w:rPr>
                <w:rFonts w:cs="Arial"/>
                <w:b/>
                <w:color w:val="auto"/>
              </w:rPr>
              <w:t>Date:</w:t>
            </w:r>
          </w:p>
          <w:p w14:paraId="68285B07" w14:textId="59C46C85" w:rsidR="001A1BA1" w:rsidRPr="00C55247" w:rsidRDefault="0047658A" w:rsidP="0047658A">
            <w:pPr>
              <w:pStyle w:val="Bulletpoints"/>
              <w:numPr>
                <w:ilvl w:val="0"/>
                <w:numId w:val="0"/>
              </w:numPr>
              <w:rPr>
                <w:rFonts w:cs="Arial"/>
                <w:color w:val="auto"/>
              </w:rPr>
            </w:pPr>
            <w:r>
              <w:rPr>
                <w:rFonts w:cs="Arial"/>
                <w:color w:val="auto"/>
              </w:rPr>
              <w:lastRenderedPageBreak/>
              <w:t>2</w:t>
            </w:r>
            <w:r w:rsidR="00E06C85">
              <w:rPr>
                <w:rFonts w:cs="Arial"/>
                <w:color w:val="auto"/>
              </w:rPr>
              <w:t>3</w:t>
            </w:r>
            <w:r>
              <w:rPr>
                <w:rFonts w:cs="Arial"/>
                <w:color w:val="auto"/>
              </w:rPr>
              <w:t>.6.2025</w:t>
            </w:r>
          </w:p>
        </w:tc>
      </w:tr>
      <w:tr w:rsidR="007967CA" w:rsidRPr="003E4C33" w14:paraId="2C18B277" w14:textId="77777777" w:rsidTr="00BD1F7A">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lastRenderedPageBreak/>
              <w:t xml:space="preserve">Member declared interests </w:t>
            </w:r>
          </w:p>
        </w:tc>
        <w:tc>
          <w:tcPr>
            <w:tcW w:w="4379" w:type="dxa"/>
          </w:tcPr>
          <w:p w14:paraId="0033AA4D" w14:textId="4DE4D358" w:rsidR="007967CA" w:rsidRPr="00C55247" w:rsidRDefault="00810555" w:rsidP="00372A82">
            <w:pPr>
              <w:pStyle w:val="bParagraphtext"/>
              <w:numPr>
                <w:ilvl w:val="0"/>
                <w:numId w:val="0"/>
              </w:numPr>
              <w:rPr>
                <w:rFonts w:cs="Arial"/>
                <w:color w:val="auto"/>
              </w:rPr>
            </w:pPr>
            <w:r>
              <w:rPr>
                <w:rFonts w:cs="Arial"/>
                <w:color w:val="auto"/>
              </w:rPr>
              <w:t>N/A</w:t>
            </w:r>
          </w:p>
        </w:tc>
        <w:tc>
          <w:tcPr>
            <w:tcW w:w="3026" w:type="dxa"/>
          </w:tcPr>
          <w:p w14:paraId="0E48995E" w14:textId="77777777" w:rsidR="0047658A" w:rsidRPr="00C55247" w:rsidRDefault="0047658A" w:rsidP="0047658A">
            <w:pPr>
              <w:pStyle w:val="Bulletpoints"/>
              <w:numPr>
                <w:ilvl w:val="0"/>
                <w:numId w:val="0"/>
              </w:numPr>
              <w:rPr>
                <w:rFonts w:cs="Arial"/>
                <w:b/>
                <w:color w:val="auto"/>
              </w:rPr>
            </w:pPr>
            <w:r w:rsidRPr="00C55247">
              <w:rPr>
                <w:rFonts w:cs="Arial"/>
                <w:b/>
                <w:color w:val="auto"/>
              </w:rPr>
              <w:t>Completed by:</w:t>
            </w:r>
          </w:p>
          <w:p w14:paraId="123054F6" w14:textId="42535B53" w:rsidR="0047658A" w:rsidRDefault="00E06C85" w:rsidP="0047658A">
            <w:pPr>
              <w:pStyle w:val="Bulletpoints"/>
              <w:numPr>
                <w:ilvl w:val="0"/>
                <w:numId w:val="0"/>
              </w:numPr>
              <w:rPr>
                <w:rFonts w:cs="Arial"/>
                <w:color w:val="auto"/>
              </w:rPr>
            </w:pPr>
            <w:r>
              <w:rPr>
                <w:rFonts w:cs="Arial"/>
                <w:color w:val="auto"/>
              </w:rPr>
              <w:t>Emma Griffiths</w:t>
            </w:r>
          </w:p>
          <w:p w14:paraId="6338227A" w14:textId="77777777" w:rsidR="0047658A" w:rsidRPr="00C55247" w:rsidRDefault="0047658A" w:rsidP="0047658A">
            <w:pPr>
              <w:pStyle w:val="Bulletpoints"/>
              <w:numPr>
                <w:ilvl w:val="0"/>
                <w:numId w:val="0"/>
              </w:numPr>
              <w:rPr>
                <w:rFonts w:cs="Arial"/>
                <w:b/>
                <w:color w:val="auto"/>
              </w:rPr>
            </w:pPr>
            <w:r w:rsidRPr="00C55247">
              <w:rPr>
                <w:rFonts w:cs="Arial"/>
                <w:b/>
                <w:color w:val="auto"/>
              </w:rPr>
              <w:t>Date:</w:t>
            </w:r>
          </w:p>
          <w:p w14:paraId="5918EBBE" w14:textId="576811BD" w:rsidR="007967CA" w:rsidRPr="00C55247" w:rsidRDefault="0047658A" w:rsidP="0047658A">
            <w:pPr>
              <w:pStyle w:val="Bulletpoints"/>
              <w:numPr>
                <w:ilvl w:val="0"/>
                <w:numId w:val="0"/>
              </w:numPr>
              <w:rPr>
                <w:rFonts w:cs="Arial"/>
                <w:b/>
                <w:color w:val="auto"/>
              </w:rPr>
            </w:pPr>
            <w:r>
              <w:rPr>
                <w:rFonts w:cs="Arial"/>
                <w:color w:val="auto"/>
              </w:rPr>
              <w:t>2</w:t>
            </w:r>
            <w:r w:rsidR="00E06C85">
              <w:rPr>
                <w:rFonts w:cs="Arial"/>
                <w:color w:val="auto"/>
              </w:rPr>
              <w:t>3</w:t>
            </w:r>
            <w:r>
              <w:rPr>
                <w:rFonts w:cs="Arial"/>
                <w:color w:val="auto"/>
              </w:rPr>
              <w:t>.6.2025</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48658099" w:rsidR="006C767F" w:rsidRPr="003E4C33" w:rsidRDefault="00861A1B" w:rsidP="12E744BB">
            <w:pPr>
              <w:rPr>
                <w:rFonts w:eastAsia="Arial" w:cs="Arial"/>
              </w:rPr>
            </w:pPr>
            <w:r>
              <w:rPr>
                <w:rStyle w:val="Firstpagetablebold"/>
              </w:rPr>
              <w:t>None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30F3414C" w:rsidR="00E87F7A" w:rsidRPr="003E4C33" w:rsidRDefault="00CB75B4" w:rsidP="00A46E98">
            <w:pPr>
              <w:rPr>
                <w:rFonts w:cs="Arial"/>
              </w:rPr>
            </w:pPr>
            <w:r>
              <w:rPr>
                <w:rFonts w:cs="Arial"/>
              </w:rPr>
              <w:t>Paul Backman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6ED614A6" w:rsidR="00E87F7A" w:rsidRPr="00C55247" w:rsidRDefault="00CB75B4" w:rsidP="00A46E98">
            <w:pPr>
              <w:rPr>
                <w:rFonts w:cs="Arial"/>
                <w:color w:val="auto"/>
              </w:rPr>
            </w:pPr>
            <w:r>
              <w:rPr>
                <w:rFonts w:cs="Arial"/>
                <w:color w:val="auto"/>
              </w:rPr>
              <w:t>Sport &amp; Physical Activity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4CE871B0" w:rsidR="00E87F7A" w:rsidRPr="00C55247" w:rsidRDefault="00CB75B4" w:rsidP="00A46E98">
            <w:pPr>
              <w:rPr>
                <w:rFonts w:cs="Arial"/>
                <w:color w:val="auto"/>
              </w:rPr>
            </w:pPr>
            <w:r>
              <w:rPr>
                <w:rFonts w:cs="Arial"/>
                <w:color w:val="auto"/>
              </w:rPr>
              <w:t>Communities &amp; Citizen Services</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4A7FA12E" w:rsidR="00E87F7A" w:rsidRPr="00C55247" w:rsidRDefault="00CB75B4" w:rsidP="00A46E98">
            <w:pPr>
              <w:rPr>
                <w:rStyle w:val="Hyperlink"/>
                <w:rFonts w:cs="Arial"/>
                <w:color w:val="auto"/>
              </w:rPr>
            </w:pPr>
            <w:r>
              <w:t>pbackman@oxford.gov.uk</w:t>
            </w:r>
          </w:p>
        </w:tc>
      </w:tr>
    </w:tbl>
    <w:p w14:paraId="30F6D8FE" w14:textId="77777777" w:rsidR="00433B96" w:rsidRPr="003E4C33" w:rsidRDefault="00433B96" w:rsidP="004A6D2F">
      <w:pPr>
        <w:rPr>
          <w:rFonts w:cs="Arial"/>
        </w:rPr>
      </w:pPr>
    </w:p>
    <w:p w14:paraId="7F049E64" w14:textId="77777777" w:rsidR="00872ACA" w:rsidRPr="003E4C33" w:rsidRDefault="00872ACA" w:rsidP="00872ACA">
      <w:pPr>
        <w:rPr>
          <w:rFonts w:cs="Arial"/>
          <w:b/>
          <w:bCs/>
        </w:rPr>
      </w:pPr>
      <w:r w:rsidRPr="003E4C33">
        <w:rPr>
          <w:rFonts w:cs="Arial"/>
          <w:b/>
          <w:bCs/>
        </w:rPr>
        <w:t>Consultee checklist</w:t>
      </w:r>
      <w:r>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872ACA" w:rsidRPr="003E4C33" w14:paraId="220145E2" w14:textId="77777777" w:rsidTr="00BE15E0">
        <w:trPr>
          <w:trHeight w:val="516"/>
        </w:trPr>
        <w:tc>
          <w:tcPr>
            <w:tcW w:w="3119" w:type="dxa"/>
          </w:tcPr>
          <w:p w14:paraId="6F3D4DA0" w14:textId="77777777" w:rsidR="00872ACA" w:rsidRPr="003E4C33" w:rsidRDefault="00872ACA" w:rsidP="00204A5F">
            <w:pPr>
              <w:spacing w:before="120"/>
              <w:rPr>
                <w:b/>
                <w:i/>
              </w:rPr>
            </w:pPr>
            <w:r w:rsidRPr="003E4C33">
              <w:rPr>
                <w:b/>
                <w:i/>
              </w:rPr>
              <w:t>Consultees</w:t>
            </w:r>
          </w:p>
        </w:tc>
        <w:tc>
          <w:tcPr>
            <w:tcW w:w="4535" w:type="dxa"/>
            <w:vAlign w:val="center"/>
          </w:tcPr>
          <w:p w14:paraId="1DD7E83E" w14:textId="77777777" w:rsidR="00872ACA" w:rsidRPr="003E4C33" w:rsidRDefault="00872ACA" w:rsidP="00204A5F">
            <w:pPr>
              <w:rPr>
                <w:b/>
                <w:i/>
              </w:rPr>
            </w:pPr>
            <w:r w:rsidRPr="003E4C33">
              <w:rPr>
                <w:b/>
                <w:i/>
              </w:rPr>
              <w:t>Name and job title</w:t>
            </w:r>
          </w:p>
        </w:tc>
        <w:tc>
          <w:tcPr>
            <w:tcW w:w="1418" w:type="dxa"/>
            <w:vAlign w:val="center"/>
          </w:tcPr>
          <w:p w14:paraId="7EF54266" w14:textId="77777777" w:rsidR="00872ACA" w:rsidRPr="003E4C33" w:rsidRDefault="00872ACA" w:rsidP="00204A5F">
            <w:pPr>
              <w:rPr>
                <w:b/>
                <w:i/>
              </w:rPr>
            </w:pPr>
            <w:r w:rsidRPr="003E4C33">
              <w:rPr>
                <w:b/>
                <w:i/>
              </w:rPr>
              <w:t xml:space="preserve">Date </w:t>
            </w:r>
          </w:p>
        </w:tc>
      </w:tr>
      <w:tr w:rsidR="00872ACA" w:rsidRPr="003E4C33" w14:paraId="32048592" w14:textId="77777777" w:rsidTr="00BE15E0">
        <w:trPr>
          <w:trHeight w:val="516"/>
        </w:trPr>
        <w:tc>
          <w:tcPr>
            <w:tcW w:w="3119" w:type="dxa"/>
            <w:vAlign w:val="center"/>
          </w:tcPr>
          <w:p w14:paraId="25E2A846" w14:textId="77777777" w:rsidR="00872ACA" w:rsidRPr="003E4C33" w:rsidRDefault="00872ACA" w:rsidP="00204A5F">
            <w:pPr>
              <w:spacing w:before="120"/>
              <w:rPr>
                <w:b/>
              </w:rPr>
            </w:pPr>
            <w:r w:rsidRPr="003E4C33">
              <w:rPr>
                <w:b/>
              </w:rPr>
              <w:t>Senior officer</w:t>
            </w:r>
          </w:p>
          <w:p w14:paraId="035E4F9D" w14:textId="77777777" w:rsidR="00872ACA" w:rsidRPr="003E4C33" w:rsidRDefault="00872ACA" w:rsidP="00204A5F">
            <w:pPr>
              <w:spacing w:before="120"/>
            </w:pPr>
            <w:r>
              <w:t>e.g. the relevant service manager / Director where the decision maker is the Chief Executive or a Deputy Chief Executive.</w:t>
            </w:r>
          </w:p>
        </w:tc>
        <w:tc>
          <w:tcPr>
            <w:tcW w:w="4535" w:type="dxa"/>
            <w:vAlign w:val="center"/>
          </w:tcPr>
          <w:p w14:paraId="5420E6C4" w14:textId="489CDD97" w:rsidR="00872ACA" w:rsidRPr="00C55247" w:rsidRDefault="00C97406" w:rsidP="00204A5F">
            <w:pPr>
              <w:rPr>
                <w:color w:val="A6A6A6" w:themeColor="background1" w:themeShade="A6"/>
              </w:rPr>
            </w:pPr>
            <w:r>
              <w:rPr>
                <w:color w:val="auto"/>
              </w:rPr>
              <w:t>N/A</w:t>
            </w:r>
          </w:p>
        </w:tc>
        <w:tc>
          <w:tcPr>
            <w:tcW w:w="1418" w:type="dxa"/>
            <w:vAlign w:val="center"/>
          </w:tcPr>
          <w:p w14:paraId="0D41D7E8" w14:textId="77777777" w:rsidR="00872ACA" w:rsidRPr="003E4C33" w:rsidRDefault="00872ACA" w:rsidP="00204A5F"/>
        </w:tc>
      </w:tr>
      <w:tr w:rsidR="00BE15E0" w:rsidRPr="003E4C33" w14:paraId="313594D6" w14:textId="77777777" w:rsidTr="00BE15E0">
        <w:trPr>
          <w:trHeight w:val="1161"/>
        </w:trPr>
        <w:tc>
          <w:tcPr>
            <w:tcW w:w="3119" w:type="dxa"/>
          </w:tcPr>
          <w:p w14:paraId="728504E8" w14:textId="77777777" w:rsidR="00BE15E0" w:rsidRPr="003E4C33" w:rsidRDefault="00BE15E0" w:rsidP="00BE15E0">
            <w:pPr>
              <w:spacing w:before="120"/>
              <w:rPr>
                <w:b/>
              </w:rPr>
            </w:pPr>
            <w:r>
              <w:rPr>
                <w:b/>
              </w:rPr>
              <w:t>Group Finance Director</w:t>
            </w:r>
          </w:p>
          <w:p w14:paraId="741A346F" w14:textId="77777777" w:rsidR="00BE15E0" w:rsidRPr="003E4C33" w:rsidRDefault="00BE15E0" w:rsidP="00BE15E0">
            <w:pPr>
              <w:spacing w:before="120"/>
            </w:pPr>
            <w:r w:rsidRPr="003E4C33">
              <w:t>Where required by the Constitution or conditions of the delegation</w:t>
            </w:r>
          </w:p>
        </w:tc>
        <w:tc>
          <w:tcPr>
            <w:tcW w:w="4535" w:type="dxa"/>
            <w:vAlign w:val="center"/>
          </w:tcPr>
          <w:p w14:paraId="462A4341" w14:textId="21C32107" w:rsidR="00BE15E0" w:rsidRDefault="00BE15E0" w:rsidP="00BE15E0"/>
          <w:p w14:paraId="2C5A85C7" w14:textId="6E5E1595" w:rsidR="00BE15E0" w:rsidRPr="003E4C33" w:rsidRDefault="00BE15E0" w:rsidP="00BE15E0">
            <w:r>
              <w:t>Nigel Kennedy, Group Finance Director</w:t>
            </w:r>
          </w:p>
        </w:tc>
        <w:tc>
          <w:tcPr>
            <w:tcW w:w="1418" w:type="dxa"/>
            <w:vAlign w:val="center"/>
          </w:tcPr>
          <w:p w14:paraId="27CAFC16" w14:textId="3BFD10CE" w:rsidR="00BE15E0" w:rsidRPr="003E4C33" w:rsidRDefault="00BE15E0" w:rsidP="00BE15E0">
            <w:r>
              <w:t>23/06/25</w:t>
            </w:r>
          </w:p>
        </w:tc>
      </w:tr>
      <w:tr w:rsidR="00872ACA" w:rsidRPr="003E4C33" w14:paraId="3865B230" w14:textId="77777777" w:rsidTr="00BE15E0">
        <w:trPr>
          <w:trHeight w:val="834"/>
        </w:trPr>
        <w:tc>
          <w:tcPr>
            <w:tcW w:w="3119" w:type="dxa"/>
          </w:tcPr>
          <w:p w14:paraId="6F9B9C19" w14:textId="77777777" w:rsidR="00872ACA" w:rsidRPr="003E4C33" w:rsidRDefault="00872ACA" w:rsidP="00204A5F">
            <w:pPr>
              <w:spacing w:before="120"/>
              <w:rPr>
                <w:b/>
              </w:rPr>
            </w:pPr>
            <w:r>
              <w:rPr>
                <w:b/>
              </w:rPr>
              <w:t>Director of Law, Governance and Strategy</w:t>
            </w:r>
          </w:p>
          <w:p w14:paraId="3FC05A6D" w14:textId="77777777" w:rsidR="00872ACA" w:rsidRPr="003E4C33" w:rsidRDefault="00872ACA" w:rsidP="00204A5F">
            <w:pPr>
              <w:spacing w:before="120"/>
            </w:pPr>
            <w:r w:rsidRPr="003E4C33">
              <w:t>Where required by the Constitution or conditions of the delegation</w:t>
            </w:r>
          </w:p>
        </w:tc>
        <w:tc>
          <w:tcPr>
            <w:tcW w:w="4535" w:type="dxa"/>
            <w:vAlign w:val="center"/>
          </w:tcPr>
          <w:p w14:paraId="5159DE70" w14:textId="695FF932" w:rsidR="00872ACA" w:rsidRPr="003E4C33" w:rsidRDefault="007916C0" w:rsidP="00204A5F">
            <w:r>
              <w:t>Emma Griffiths, Legal Services Manager (Deputy Monitoring Officer, in lieu of Emma Jackman, Director of Law, Governance and Strategy (Monitoring Officer)</w:t>
            </w:r>
          </w:p>
        </w:tc>
        <w:tc>
          <w:tcPr>
            <w:tcW w:w="1418" w:type="dxa"/>
          </w:tcPr>
          <w:p w14:paraId="7DA44898" w14:textId="77777777" w:rsidR="00872ACA" w:rsidRDefault="00872ACA" w:rsidP="00204A5F"/>
          <w:p w14:paraId="62D1FC87" w14:textId="77777777" w:rsidR="007916C0" w:rsidRDefault="007916C0" w:rsidP="00204A5F"/>
          <w:p w14:paraId="7FB75C87" w14:textId="6871EF40" w:rsidR="007916C0" w:rsidRPr="003E4C33" w:rsidRDefault="007916C0" w:rsidP="00204A5F">
            <w:r>
              <w:t>23/06/25</w:t>
            </w:r>
          </w:p>
        </w:tc>
      </w:tr>
      <w:tr w:rsidR="00872ACA" w:rsidRPr="003E4C33" w14:paraId="370F0E30" w14:textId="77777777" w:rsidTr="00BE15E0">
        <w:trPr>
          <w:trHeight w:val="562"/>
        </w:trPr>
        <w:tc>
          <w:tcPr>
            <w:tcW w:w="3119" w:type="dxa"/>
            <w:vAlign w:val="center"/>
          </w:tcPr>
          <w:p w14:paraId="30719AC1" w14:textId="77777777" w:rsidR="00872ACA" w:rsidRPr="003E4C33" w:rsidRDefault="00872ACA" w:rsidP="00204A5F">
            <w:pPr>
              <w:spacing w:before="120"/>
              <w:rPr>
                <w:b/>
              </w:rPr>
            </w:pPr>
            <w:r w:rsidRPr="003E4C33">
              <w:rPr>
                <w:b/>
              </w:rPr>
              <w:lastRenderedPageBreak/>
              <w:t>Cabinet Member(s)</w:t>
            </w:r>
          </w:p>
          <w:p w14:paraId="114AA440" w14:textId="77777777" w:rsidR="00872ACA" w:rsidRPr="003E4C33" w:rsidRDefault="00872ACA" w:rsidP="00204A5F">
            <w:pPr>
              <w:spacing w:before="120"/>
            </w:pPr>
            <w:r w:rsidRPr="003E4C33">
              <w:t>Where required by the conditions of the delegation</w:t>
            </w:r>
          </w:p>
        </w:tc>
        <w:tc>
          <w:tcPr>
            <w:tcW w:w="4535" w:type="dxa"/>
            <w:vAlign w:val="center"/>
          </w:tcPr>
          <w:p w14:paraId="778BDF52" w14:textId="5C447EE6" w:rsidR="00872ACA" w:rsidRPr="003E4C33" w:rsidRDefault="00C97406" w:rsidP="00204A5F">
            <w:r>
              <w:t>Councillor Susan Brown</w:t>
            </w:r>
            <w:r w:rsidR="00810555">
              <w:t xml:space="preserve">. </w:t>
            </w:r>
            <w:r w:rsidR="00810555" w:rsidRPr="00810555">
              <w:t>Leader, and Cabinet Member for Partnership Working and Inclusive Economic Growth</w:t>
            </w:r>
          </w:p>
        </w:tc>
        <w:tc>
          <w:tcPr>
            <w:tcW w:w="1418" w:type="dxa"/>
            <w:vAlign w:val="center"/>
          </w:tcPr>
          <w:p w14:paraId="4C035635" w14:textId="56430C15" w:rsidR="00872ACA" w:rsidRPr="003E4C33" w:rsidRDefault="00C97406" w:rsidP="00204A5F">
            <w:r>
              <w:t>25/06/2025</w:t>
            </w:r>
          </w:p>
        </w:tc>
      </w:tr>
      <w:tr w:rsidR="00872ACA" w:rsidRPr="003E4C33" w14:paraId="626EC5DC" w14:textId="77777777" w:rsidTr="00BE15E0">
        <w:trPr>
          <w:trHeight w:val="562"/>
        </w:trPr>
        <w:tc>
          <w:tcPr>
            <w:tcW w:w="3119" w:type="dxa"/>
            <w:vAlign w:val="center"/>
          </w:tcPr>
          <w:p w14:paraId="57A02698" w14:textId="77777777" w:rsidR="00872ACA" w:rsidRPr="003E4C33" w:rsidRDefault="00872ACA" w:rsidP="00204A5F">
            <w:pPr>
              <w:spacing w:before="120"/>
              <w:rPr>
                <w:b/>
              </w:rPr>
            </w:pPr>
            <w:r w:rsidRPr="003E4C33">
              <w:rPr>
                <w:b/>
              </w:rPr>
              <w:t>Ward Members</w:t>
            </w:r>
          </w:p>
          <w:p w14:paraId="35F58949" w14:textId="77777777" w:rsidR="00872ACA" w:rsidRPr="003E4C33" w:rsidRDefault="00872ACA" w:rsidP="00204A5F">
            <w:pPr>
              <w:spacing w:before="120"/>
            </w:pPr>
            <w:r w:rsidRPr="003E4C33">
              <w:t>Where required by the Constitution or conditions of the delegation</w:t>
            </w:r>
          </w:p>
        </w:tc>
        <w:tc>
          <w:tcPr>
            <w:tcW w:w="4535" w:type="dxa"/>
            <w:vAlign w:val="center"/>
          </w:tcPr>
          <w:p w14:paraId="27A076DC" w14:textId="77777777" w:rsidR="00872ACA" w:rsidRPr="003E4C33" w:rsidRDefault="00872ACA" w:rsidP="00204A5F"/>
        </w:tc>
        <w:tc>
          <w:tcPr>
            <w:tcW w:w="1418" w:type="dxa"/>
            <w:vAlign w:val="center"/>
          </w:tcPr>
          <w:p w14:paraId="51FC9862" w14:textId="77777777" w:rsidR="00872ACA" w:rsidRPr="003E4C33" w:rsidRDefault="00872ACA" w:rsidP="00204A5F"/>
        </w:tc>
      </w:tr>
    </w:tbl>
    <w:p w14:paraId="4A373021" w14:textId="60CE9DD7" w:rsidR="001A1BA1" w:rsidRPr="003E4C33" w:rsidRDefault="001A1BA1" w:rsidP="0BC4DFF5">
      <w:pPr>
        <w:rPr>
          <w:rFonts w:cs="Arial"/>
          <w:b/>
          <w:bCs/>
        </w:rPr>
      </w:pPr>
    </w:p>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002C2FA" w:rsidR="0BC4DFF5" w:rsidRPr="003E4C33" w:rsidRDefault="0BC4DFF5" w:rsidP="0BC4DFF5">
            <w:pPr>
              <w:rPr>
                <w:b/>
                <w:bCs/>
                <w:i/>
                <w:iCs/>
              </w:rPr>
            </w:pPr>
            <w:r w:rsidRPr="003E4C33">
              <w:rPr>
                <w:b/>
                <w:bCs/>
                <w:i/>
                <w:iCs/>
              </w:rPr>
              <w:t>Name and job title</w:t>
            </w:r>
            <w:r w:rsidR="00750B7F">
              <w:t xml:space="preserve"> </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249841EC" w14:textId="34FEDAD8" w:rsidR="0BC4DFF5" w:rsidRPr="00C55247" w:rsidRDefault="00861A1B">
            <w:r w:rsidRPr="00C55247">
              <w:rPr>
                <w:color w:val="auto"/>
              </w:rPr>
              <w:t xml:space="preserve">Councillor </w:t>
            </w:r>
            <w:r>
              <w:rPr>
                <w:color w:val="auto"/>
              </w:rPr>
              <w:t>C</w:t>
            </w:r>
            <w:r>
              <w:t xml:space="preserve">hewe </w:t>
            </w:r>
            <w:proofErr w:type="spellStart"/>
            <w:r>
              <w:t>Munkonge</w:t>
            </w:r>
            <w:proofErr w:type="spellEnd"/>
            <w:r w:rsidRPr="00C55247">
              <w:rPr>
                <w:color w:val="auto"/>
              </w:rPr>
              <w:t xml:space="preserve">, </w:t>
            </w:r>
            <w:r w:rsidRPr="005A3161">
              <w:rPr>
                <w:color w:val="auto"/>
              </w:rPr>
              <w:t>Cabinet Member for a Healthy, Fairer Oxford</w:t>
            </w:r>
            <w:r>
              <w:rPr>
                <w:color w:val="auto"/>
              </w:rPr>
              <w:t xml:space="preserve"> </w:t>
            </w:r>
            <w:r w:rsidRPr="00250A14">
              <w:t>and Small Business Champion</w:t>
            </w:r>
          </w:p>
        </w:tc>
        <w:tc>
          <w:tcPr>
            <w:tcW w:w="1417" w:type="dxa"/>
            <w:vAlign w:val="center"/>
          </w:tcPr>
          <w:p w14:paraId="32E398AB" w14:textId="6FF902B8" w:rsidR="00CB7A4F" w:rsidRPr="003E4C33" w:rsidRDefault="001B02F8">
            <w:r>
              <w:t>25/06/2025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1"/>
      <w:headerReference w:type="default" r:id="rId12"/>
      <w:footerReference w:type="even" r:id="rId13"/>
      <w:footerReference w:type="default" r:id="rId14"/>
      <w:headerReference w:type="first" r:id="rId15"/>
      <w:footerReference w:type="first" r:id="rId16"/>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C2E7" w14:textId="77777777" w:rsidR="00BA4FC1" w:rsidRDefault="00BA4FC1" w:rsidP="004A6D2F">
      <w:r>
        <w:separator/>
      </w:r>
    </w:p>
  </w:endnote>
  <w:endnote w:type="continuationSeparator" w:id="0">
    <w:p w14:paraId="111FB280" w14:textId="77777777" w:rsidR="00BA4FC1" w:rsidRDefault="00BA4FC1"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6DDF" w14:textId="77777777" w:rsidR="00BA4FC1" w:rsidRDefault="00BA4FC1" w:rsidP="004A6D2F">
      <w:r>
        <w:separator/>
      </w:r>
    </w:p>
  </w:footnote>
  <w:footnote w:type="continuationSeparator" w:id="0">
    <w:p w14:paraId="2DCC9A5C" w14:textId="77777777" w:rsidR="00BA4FC1" w:rsidRDefault="00BA4FC1"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49D1"/>
    <w:rsid w:val="00064D8A"/>
    <w:rsid w:val="00064F82"/>
    <w:rsid w:val="00066510"/>
    <w:rsid w:val="00077523"/>
    <w:rsid w:val="0008425C"/>
    <w:rsid w:val="000B0196"/>
    <w:rsid w:val="000B1DFC"/>
    <w:rsid w:val="000C089F"/>
    <w:rsid w:val="000C1E82"/>
    <w:rsid w:val="000C260D"/>
    <w:rsid w:val="000C3928"/>
    <w:rsid w:val="000C51D6"/>
    <w:rsid w:val="000C5E8E"/>
    <w:rsid w:val="000F3878"/>
    <w:rsid w:val="000F4751"/>
    <w:rsid w:val="0010524C"/>
    <w:rsid w:val="00111FB1"/>
    <w:rsid w:val="00113418"/>
    <w:rsid w:val="00117C1C"/>
    <w:rsid w:val="00124E5C"/>
    <w:rsid w:val="001356F1"/>
    <w:rsid w:val="00136994"/>
    <w:rsid w:val="0014128E"/>
    <w:rsid w:val="00151888"/>
    <w:rsid w:val="00155B5B"/>
    <w:rsid w:val="00170A2D"/>
    <w:rsid w:val="001808BC"/>
    <w:rsid w:val="00182B81"/>
    <w:rsid w:val="0018619D"/>
    <w:rsid w:val="001933B0"/>
    <w:rsid w:val="001A011E"/>
    <w:rsid w:val="001A066A"/>
    <w:rsid w:val="001A13E6"/>
    <w:rsid w:val="001A1BA1"/>
    <w:rsid w:val="001A5731"/>
    <w:rsid w:val="001B02F8"/>
    <w:rsid w:val="001B42C3"/>
    <w:rsid w:val="001C2445"/>
    <w:rsid w:val="001C45A1"/>
    <w:rsid w:val="001C5D5E"/>
    <w:rsid w:val="001D678D"/>
    <w:rsid w:val="001E03F8"/>
    <w:rsid w:val="001E1678"/>
    <w:rsid w:val="001E3376"/>
    <w:rsid w:val="001E556C"/>
    <w:rsid w:val="00200671"/>
    <w:rsid w:val="002069B3"/>
    <w:rsid w:val="00214406"/>
    <w:rsid w:val="00220DE6"/>
    <w:rsid w:val="00226F8A"/>
    <w:rsid w:val="0022753B"/>
    <w:rsid w:val="002329CF"/>
    <w:rsid w:val="00232F5B"/>
    <w:rsid w:val="00241830"/>
    <w:rsid w:val="00243B7D"/>
    <w:rsid w:val="00244B32"/>
    <w:rsid w:val="00247C29"/>
    <w:rsid w:val="00250A14"/>
    <w:rsid w:val="00260467"/>
    <w:rsid w:val="00263EA3"/>
    <w:rsid w:val="00266971"/>
    <w:rsid w:val="00284F85"/>
    <w:rsid w:val="002870C3"/>
    <w:rsid w:val="00290915"/>
    <w:rsid w:val="002A22E2"/>
    <w:rsid w:val="002A7ADB"/>
    <w:rsid w:val="002B17A7"/>
    <w:rsid w:val="002B46A9"/>
    <w:rsid w:val="002B6836"/>
    <w:rsid w:val="002C64F7"/>
    <w:rsid w:val="002D2F92"/>
    <w:rsid w:val="002F41F2"/>
    <w:rsid w:val="00301BF3"/>
    <w:rsid w:val="0030208D"/>
    <w:rsid w:val="00323418"/>
    <w:rsid w:val="003273FD"/>
    <w:rsid w:val="0033565F"/>
    <w:rsid w:val="003357BF"/>
    <w:rsid w:val="00340B77"/>
    <w:rsid w:val="0035007E"/>
    <w:rsid w:val="003517C6"/>
    <w:rsid w:val="00354567"/>
    <w:rsid w:val="00364FAD"/>
    <w:rsid w:val="0036738F"/>
    <w:rsid w:val="0036759C"/>
    <w:rsid w:val="00367AE5"/>
    <w:rsid w:val="00367D71"/>
    <w:rsid w:val="00372A82"/>
    <w:rsid w:val="0038150A"/>
    <w:rsid w:val="00386CE6"/>
    <w:rsid w:val="003B6E75"/>
    <w:rsid w:val="003B7DA1"/>
    <w:rsid w:val="003D0379"/>
    <w:rsid w:val="003D2574"/>
    <w:rsid w:val="003D4C59"/>
    <w:rsid w:val="003E032C"/>
    <w:rsid w:val="003E4C33"/>
    <w:rsid w:val="003E6F25"/>
    <w:rsid w:val="003F4267"/>
    <w:rsid w:val="00404032"/>
    <w:rsid w:val="0040736F"/>
    <w:rsid w:val="00412C1F"/>
    <w:rsid w:val="00421CB2"/>
    <w:rsid w:val="004268B9"/>
    <w:rsid w:val="00433B96"/>
    <w:rsid w:val="00442C9D"/>
    <w:rsid w:val="004440F1"/>
    <w:rsid w:val="004456DD"/>
    <w:rsid w:val="00446CDF"/>
    <w:rsid w:val="004521B7"/>
    <w:rsid w:val="004548E0"/>
    <w:rsid w:val="0046071F"/>
    <w:rsid w:val="00462AB5"/>
    <w:rsid w:val="00465EAF"/>
    <w:rsid w:val="004712C6"/>
    <w:rsid w:val="004738C5"/>
    <w:rsid w:val="0047658A"/>
    <w:rsid w:val="0047737B"/>
    <w:rsid w:val="00491046"/>
    <w:rsid w:val="00494404"/>
    <w:rsid w:val="00496078"/>
    <w:rsid w:val="004A2AC7"/>
    <w:rsid w:val="004A39C3"/>
    <w:rsid w:val="004A6D2F"/>
    <w:rsid w:val="004B11AE"/>
    <w:rsid w:val="004C0782"/>
    <w:rsid w:val="004C24E1"/>
    <w:rsid w:val="004C2887"/>
    <w:rsid w:val="004D2626"/>
    <w:rsid w:val="004D6E26"/>
    <w:rsid w:val="004D77D3"/>
    <w:rsid w:val="004E2959"/>
    <w:rsid w:val="004F1046"/>
    <w:rsid w:val="004F20EF"/>
    <w:rsid w:val="004F554F"/>
    <w:rsid w:val="0050321C"/>
    <w:rsid w:val="00507ECC"/>
    <w:rsid w:val="00512370"/>
    <w:rsid w:val="005127EC"/>
    <w:rsid w:val="00523261"/>
    <w:rsid w:val="00530C15"/>
    <w:rsid w:val="00531E16"/>
    <w:rsid w:val="005376F4"/>
    <w:rsid w:val="0054712D"/>
    <w:rsid w:val="00547EF6"/>
    <w:rsid w:val="0055056C"/>
    <w:rsid w:val="005570B5"/>
    <w:rsid w:val="00566DCF"/>
    <w:rsid w:val="00567E18"/>
    <w:rsid w:val="00575F5F"/>
    <w:rsid w:val="00576CD0"/>
    <w:rsid w:val="00581805"/>
    <w:rsid w:val="00584C7D"/>
    <w:rsid w:val="00585F76"/>
    <w:rsid w:val="005A3161"/>
    <w:rsid w:val="005A34E4"/>
    <w:rsid w:val="005A6610"/>
    <w:rsid w:val="005B064B"/>
    <w:rsid w:val="005B17F2"/>
    <w:rsid w:val="005B7563"/>
    <w:rsid w:val="005B7FB0"/>
    <w:rsid w:val="005C35A5"/>
    <w:rsid w:val="005C577C"/>
    <w:rsid w:val="005D0621"/>
    <w:rsid w:val="005D1E27"/>
    <w:rsid w:val="005D2A3E"/>
    <w:rsid w:val="005E008E"/>
    <w:rsid w:val="005E022E"/>
    <w:rsid w:val="005E2B45"/>
    <w:rsid w:val="005E5215"/>
    <w:rsid w:val="005F2265"/>
    <w:rsid w:val="005F2F23"/>
    <w:rsid w:val="005F7F7E"/>
    <w:rsid w:val="00614693"/>
    <w:rsid w:val="00622741"/>
    <w:rsid w:val="00623C2F"/>
    <w:rsid w:val="00630829"/>
    <w:rsid w:val="00633578"/>
    <w:rsid w:val="0063408C"/>
    <w:rsid w:val="00635E3E"/>
    <w:rsid w:val="00637068"/>
    <w:rsid w:val="006374FA"/>
    <w:rsid w:val="006419CA"/>
    <w:rsid w:val="006462E6"/>
    <w:rsid w:val="00650811"/>
    <w:rsid w:val="00650B93"/>
    <w:rsid w:val="00660308"/>
    <w:rsid w:val="00661D3E"/>
    <w:rsid w:val="006620C7"/>
    <w:rsid w:val="00692627"/>
    <w:rsid w:val="006969E7"/>
    <w:rsid w:val="006A3643"/>
    <w:rsid w:val="006B10C2"/>
    <w:rsid w:val="006B2DE1"/>
    <w:rsid w:val="006B53CC"/>
    <w:rsid w:val="006C2A29"/>
    <w:rsid w:val="006C4EB8"/>
    <w:rsid w:val="006C64CF"/>
    <w:rsid w:val="006C767F"/>
    <w:rsid w:val="006C7D2E"/>
    <w:rsid w:val="006D17B1"/>
    <w:rsid w:val="006D309B"/>
    <w:rsid w:val="006D4570"/>
    <w:rsid w:val="006D4752"/>
    <w:rsid w:val="006D708A"/>
    <w:rsid w:val="006E14C1"/>
    <w:rsid w:val="006E1FA1"/>
    <w:rsid w:val="006E614E"/>
    <w:rsid w:val="006F0292"/>
    <w:rsid w:val="006F27FA"/>
    <w:rsid w:val="006F416B"/>
    <w:rsid w:val="006F519B"/>
    <w:rsid w:val="006F616B"/>
    <w:rsid w:val="00706930"/>
    <w:rsid w:val="00713675"/>
    <w:rsid w:val="00715823"/>
    <w:rsid w:val="00717654"/>
    <w:rsid w:val="007253EF"/>
    <w:rsid w:val="00737B93"/>
    <w:rsid w:val="00745BF0"/>
    <w:rsid w:val="00750B7F"/>
    <w:rsid w:val="00751EA3"/>
    <w:rsid w:val="007615FE"/>
    <w:rsid w:val="00764BAF"/>
    <w:rsid w:val="0076655C"/>
    <w:rsid w:val="00771FD6"/>
    <w:rsid w:val="007742DC"/>
    <w:rsid w:val="00791437"/>
    <w:rsid w:val="007916C0"/>
    <w:rsid w:val="007967CA"/>
    <w:rsid w:val="007A0341"/>
    <w:rsid w:val="007B0C2C"/>
    <w:rsid w:val="007B278E"/>
    <w:rsid w:val="007B5CA2"/>
    <w:rsid w:val="007C1F3D"/>
    <w:rsid w:val="007C5C23"/>
    <w:rsid w:val="007D1D04"/>
    <w:rsid w:val="007E2A26"/>
    <w:rsid w:val="007F2348"/>
    <w:rsid w:val="007F3683"/>
    <w:rsid w:val="007F4757"/>
    <w:rsid w:val="00803F07"/>
    <w:rsid w:val="0080749A"/>
    <w:rsid w:val="00810555"/>
    <w:rsid w:val="00810C1B"/>
    <w:rsid w:val="00821FB8"/>
    <w:rsid w:val="00822ACD"/>
    <w:rsid w:val="00826808"/>
    <w:rsid w:val="00855C66"/>
    <w:rsid w:val="00861A1B"/>
    <w:rsid w:val="00871EE4"/>
    <w:rsid w:val="00872ACA"/>
    <w:rsid w:val="0088798F"/>
    <w:rsid w:val="008954DF"/>
    <w:rsid w:val="008A34D3"/>
    <w:rsid w:val="008B293F"/>
    <w:rsid w:val="008B7371"/>
    <w:rsid w:val="008C3026"/>
    <w:rsid w:val="008D08FF"/>
    <w:rsid w:val="008D2347"/>
    <w:rsid w:val="008D3DDB"/>
    <w:rsid w:val="008E3C67"/>
    <w:rsid w:val="008F1BB4"/>
    <w:rsid w:val="008F3B04"/>
    <w:rsid w:val="008F4AE1"/>
    <w:rsid w:val="008F573F"/>
    <w:rsid w:val="00900411"/>
    <w:rsid w:val="009034EC"/>
    <w:rsid w:val="00907FE6"/>
    <w:rsid w:val="00913FB9"/>
    <w:rsid w:val="0093067A"/>
    <w:rsid w:val="00941C60"/>
    <w:rsid w:val="00941FD1"/>
    <w:rsid w:val="0094443D"/>
    <w:rsid w:val="0096297B"/>
    <w:rsid w:val="00966D42"/>
    <w:rsid w:val="009673A8"/>
    <w:rsid w:val="00971689"/>
    <w:rsid w:val="0097170F"/>
    <w:rsid w:val="00973E90"/>
    <w:rsid w:val="00975B07"/>
    <w:rsid w:val="00980B4A"/>
    <w:rsid w:val="00990229"/>
    <w:rsid w:val="0099164D"/>
    <w:rsid w:val="009929D8"/>
    <w:rsid w:val="009B3E8A"/>
    <w:rsid w:val="009D3627"/>
    <w:rsid w:val="009D7080"/>
    <w:rsid w:val="009E24C1"/>
    <w:rsid w:val="009E3D0A"/>
    <w:rsid w:val="009E51FC"/>
    <w:rsid w:val="009E68E0"/>
    <w:rsid w:val="009F1D28"/>
    <w:rsid w:val="009F6BC0"/>
    <w:rsid w:val="009F7618"/>
    <w:rsid w:val="00A04D23"/>
    <w:rsid w:val="00A06766"/>
    <w:rsid w:val="00A13765"/>
    <w:rsid w:val="00A21B12"/>
    <w:rsid w:val="00A23F80"/>
    <w:rsid w:val="00A46E98"/>
    <w:rsid w:val="00A6352B"/>
    <w:rsid w:val="00A701B5"/>
    <w:rsid w:val="00A714BB"/>
    <w:rsid w:val="00A77147"/>
    <w:rsid w:val="00A824F2"/>
    <w:rsid w:val="00A92D8F"/>
    <w:rsid w:val="00A949FD"/>
    <w:rsid w:val="00AB2988"/>
    <w:rsid w:val="00AB2A81"/>
    <w:rsid w:val="00AB3F66"/>
    <w:rsid w:val="00AB7999"/>
    <w:rsid w:val="00AC3672"/>
    <w:rsid w:val="00AD3292"/>
    <w:rsid w:val="00AD6FFB"/>
    <w:rsid w:val="00AE1684"/>
    <w:rsid w:val="00AE262E"/>
    <w:rsid w:val="00AE7AF0"/>
    <w:rsid w:val="00B13A1E"/>
    <w:rsid w:val="00B35BD0"/>
    <w:rsid w:val="00B500CA"/>
    <w:rsid w:val="00B6369C"/>
    <w:rsid w:val="00B86314"/>
    <w:rsid w:val="00B93FFA"/>
    <w:rsid w:val="00BA1C2E"/>
    <w:rsid w:val="00BA4B1D"/>
    <w:rsid w:val="00BA4FC1"/>
    <w:rsid w:val="00BC1B01"/>
    <w:rsid w:val="00BC200B"/>
    <w:rsid w:val="00BC4756"/>
    <w:rsid w:val="00BC69A4"/>
    <w:rsid w:val="00BD1F7A"/>
    <w:rsid w:val="00BE0680"/>
    <w:rsid w:val="00BE15E0"/>
    <w:rsid w:val="00BE305F"/>
    <w:rsid w:val="00BE7BA3"/>
    <w:rsid w:val="00BF2B37"/>
    <w:rsid w:val="00BF2B8A"/>
    <w:rsid w:val="00BF3BFA"/>
    <w:rsid w:val="00BF5682"/>
    <w:rsid w:val="00BF7B09"/>
    <w:rsid w:val="00C05260"/>
    <w:rsid w:val="00C059B9"/>
    <w:rsid w:val="00C076B9"/>
    <w:rsid w:val="00C13356"/>
    <w:rsid w:val="00C20A95"/>
    <w:rsid w:val="00C2692F"/>
    <w:rsid w:val="00C3207C"/>
    <w:rsid w:val="00C36619"/>
    <w:rsid w:val="00C400E1"/>
    <w:rsid w:val="00C41187"/>
    <w:rsid w:val="00C55247"/>
    <w:rsid w:val="00C56120"/>
    <w:rsid w:val="00C63AF2"/>
    <w:rsid w:val="00C63C31"/>
    <w:rsid w:val="00C7554A"/>
    <w:rsid w:val="00C757A0"/>
    <w:rsid w:val="00C760DE"/>
    <w:rsid w:val="00C82630"/>
    <w:rsid w:val="00C85B4E"/>
    <w:rsid w:val="00C87578"/>
    <w:rsid w:val="00C907F7"/>
    <w:rsid w:val="00C90DC0"/>
    <w:rsid w:val="00C97406"/>
    <w:rsid w:val="00CA2103"/>
    <w:rsid w:val="00CA31FF"/>
    <w:rsid w:val="00CB21E8"/>
    <w:rsid w:val="00CB63C5"/>
    <w:rsid w:val="00CB6B99"/>
    <w:rsid w:val="00CB75B4"/>
    <w:rsid w:val="00CB7A4F"/>
    <w:rsid w:val="00CE4C87"/>
    <w:rsid w:val="00CE544A"/>
    <w:rsid w:val="00D01361"/>
    <w:rsid w:val="00D11E1C"/>
    <w:rsid w:val="00D1328A"/>
    <w:rsid w:val="00D160B0"/>
    <w:rsid w:val="00D17F94"/>
    <w:rsid w:val="00D223FC"/>
    <w:rsid w:val="00D26D1E"/>
    <w:rsid w:val="00D33FBF"/>
    <w:rsid w:val="00D474CF"/>
    <w:rsid w:val="00D5547E"/>
    <w:rsid w:val="00D566E2"/>
    <w:rsid w:val="00D8270A"/>
    <w:rsid w:val="00D860E2"/>
    <w:rsid w:val="00D869A1"/>
    <w:rsid w:val="00DA413F"/>
    <w:rsid w:val="00DA4584"/>
    <w:rsid w:val="00DA47BC"/>
    <w:rsid w:val="00DA614B"/>
    <w:rsid w:val="00DA66F0"/>
    <w:rsid w:val="00DB7AD7"/>
    <w:rsid w:val="00DC3060"/>
    <w:rsid w:val="00DE0FB2"/>
    <w:rsid w:val="00DF093E"/>
    <w:rsid w:val="00DF5871"/>
    <w:rsid w:val="00DF5D4E"/>
    <w:rsid w:val="00E01F42"/>
    <w:rsid w:val="00E05CAA"/>
    <w:rsid w:val="00E06C85"/>
    <w:rsid w:val="00E206D6"/>
    <w:rsid w:val="00E3366E"/>
    <w:rsid w:val="00E42BF7"/>
    <w:rsid w:val="00E508A1"/>
    <w:rsid w:val="00E52086"/>
    <w:rsid w:val="00E543A6"/>
    <w:rsid w:val="00E551C4"/>
    <w:rsid w:val="00E60479"/>
    <w:rsid w:val="00E61D73"/>
    <w:rsid w:val="00E73684"/>
    <w:rsid w:val="00E80FF1"/>
    <w:rsid w:val="00E818D6"/>
    <w:rsid w:val="00E87F7A"/>
    <w:rsid w:val="00E94B3E"/>
    <w:rsid w:val="00E96BD7"/>
    <w:rsid w:val="00EA0DB1"/>
    <w:rsid w:val="00EA0EE9"/>
    <w:rsid w:val="00EA6B02"/>
    <w:rsid w:val="00EC5879"/>
    <w:rsid w:val="00ED52CA"/>
    <w:rsid w:val="00ED5860"/>
    <w:rsid w:val="00ED7518"/>
    <w:rsid w:val="00EE149B"/>
    <w:rsid w:val="00EE35C9"/>
    <w:rsid w:val="00F03F3C"/>
    <w:rsid w:val="00F05ECA"/>
    <w:rsid w:val="00F122B1"/>
    <w:rsid w:val="00F126A4"/>
    <w:rsid w:val="00F26E21"/>
    <w:rsid w:val="00F3566E"/>
    <w:rsid w:val="00F375FB"/>
    <w:rsid w:val="00F41AC1"/>
    <w:rsid w:val="00F4367A"/>
    <w:rsid w:val="00F445B1"/>
    <w:rsid w:val="00F448EB"/>
    <w:rsid w:val="00F45CD4"/>
    <w:rsid w:val="00F45F4F"/>
    <w:rsid w:val="00F540F3"/>
    <w:rsid w:val="00F54980"/>
    <w:rsid w:val="00F6194B"/>
    <w:rsid w:val="00F66DCA"/>
    <w:rsid w:val="00F74F53"/>
    <w:rsid w:val="00F7606D"/>
    <w:rsid w:val="00F81670"/>
    <w:rsid w:val="00F82024"/>
    <w:rsid w:val="00F865A3"/>
    <w:rsid w:val="00F95BC9"/>
    <w:rsid w:val="00F96B7E"/>
    <w:rsid w:val="00FA624C"/>
    <w:rsid w:val="00FB3B71"/>
    <w:rsid w:val="00FD0FAC"/>
    <w:rsid w:val="00FD1DFA"/>
    <w:rsid w:val="00FD4966"/>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10" ma:contentTypeDescription="Create a new document." ma:contentTypeScope="" ma:versionID="38b1035aa20c7e25a6a249c2c55016cd">
  <xsd:schema xmlns:xsd="http://www.w3.org/2001/XMLSchema" xmlns:xs="http://www.w3.org/2001/XMLSchema" xmlns:p="http://schemas.microsoft.com/office/2006/metadata/properties" xmlns:ns2="fdb8f1d2-729e-4e17-b922-d1876d49c6d9" targetNamespace="http://schemas.microsoft.com/office/2006/metadata/properties" ma:root="true" ma:fieldsID="37d5e34c32c15ea9f15eeef0f498b86d" ns2:_="">
    <xsd:import namespace="fdb8f1d2-729e-4e17-b922-d1876d49c6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02D5B-0633-456C-B2AE-862D26A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2</cp:revision>
  <cp:lastPrinted>2015-07-03T13:50:00Z</cp:lastPrinted>
  <dcterms:created xsi:type="dcterms:W3CDTF">2025-06-30T10:34:00Z</dcterms:created>
  <dcterms:modified xsi:type="dcterms:W3CDTF">2025-06-30T10:34:00Z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